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A3" w:rsidRDefault="006F6FA3" w:rsidP="006F6FA3">
      <w:pPr>
        <w:tabs>
          <w:tab w:val="left" w:pos="643"/>
        </w:tabs>
        <w:spacing w:before="30"/>
        <w:ind w:right="40"/>
        <w:jc w:val="center"/>
        <w:rPr>
          <w:b/>
          <w:sz w:val="32"/>
        </w:rPr>
      </w:pPr>
      <w:r>
        <w:rPr>
          <w:b/>
          <w:sz w:val="32"/>
        </w:rPr>
        <w:t>会</w:t>
      </w:r>
      <w:r>
        <w:rPr>
          <w:b/>
          <w:sz w:val="32"/>
        </w:rPr>
        <w:tab/>
        <w:t>计</w:t>
      </w:r>
    </w:p>
    <w:p w:rsidR="006F6FA3" w:rsidRDefault="006F6FA3" w:rsidP="006F6FA3">
      <w:pPr>
        <w:pStyle w:val="a5"/>
        <w:spacing w:before="11"/>
        <w:ind w:left="0"/>
        <w:rPr>
          <w:b/>
          <w:sz w:val="20"/>
        </w:rPr>
      </w:pPr>
    </w:p>
    <w:p w:rsidR="006F6FA3" w:rsidRDefault="006F6FA3" w:rsidP="006F6FA3">
      <w:pPr>
        <w:spacing w:before="58"/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考试目标</w:t>
      </w:r>
    </w:p>
    <w:p w:rsidR="006F6FA3" w:rsidRDefault="006F6FA3" w:rsidP="006F6FA3">
      <w:pPr>
        <w:spacing w:before="218" w:line="403" w:lineRule="auto"/>
        <w:ind w:left="280" w:right="186" w:firstLine="520"/>
        <w:jc w:val="both"/>
        <w:rPr>
          <w:sz w:val="26"/>
        </w:rPr>
      </w:pPr>
      <w:r>
        <w:rPr>
          <w:spacing w:val="-2"/>
          <w:sz w:val="26"/>
        </w:rPr>
        <w:t>考生应当根据本科目考试内容与能力等级的要求，理解、掌握或运用</w:t>
      </w:r>
      <w:r>
        <w:rPr>
          <w:spacing w:val="-5"/>
          <w:sz w:val="26"/>
        </w:rPr>
        <w:t>下列相关的专业知识和职业技能，坚守职业价值观、遵循职业道德、坚持</w:t>
      </w:r>
      <w:r>
        <w:rPr>
          <w:spacing w:val="-9"/>
          <w:sz w:val="26"/>
        </w:rPr>
        <w:t xml:space="preserve">职业态度，解决实务问题。考试涉及的相关法规截至 </w:t>
      </w:r>
      <w:r>
        <w:rPr>
          <w:sz w:val="26"/>
        </w:rPr>
        <w:t>2019</w:t>
      </w:r>
      <w:r>
        <w:rPr>
          <w:spacing w:val="-45"/>
          <w:sz w:val="26"/>
        </w:rPr>
        <w:t xml:space="preserve"> 年 </w:t>
      </w:r>
      <w:r>
        <w:rPr>
          <w:sz w:val="26"/>
        </w:rPr>
        <w:t>12</w:t>
      </w:r>
      <w:r>
        <w:rPr>
          <w:spacing w:val="-45"/>
          <w:sz w:val="26"/>
        </w:rPr>
        <w:t xml:space="preserve"> 月 </w:t>
      </w:r>
      <w:r>
        <w:rPr>
          <w:sz w:val="26"/>
        </w:rPr>
        <w:t>31</w:t>
      </w:r>
      <w:r>
        <w:rPr>
          <w:spacing w:val="-22"/>
          <w:sz w:val="26"/>
        </w:rPr>
        <w:t xml:space="preserve"> 日。</w:t>
      </w:r>
    </w:p>
    <w:p w:rsidR="006F6FA3" w:rsidRDefault="006F6FA3" w:rsidP="006F6FA3">
      <w:pPr>
        <w:pStyle w:val="a6"/>
        <w:numPr>
          <w:ilvl w:val="0"/>
          <w:numId w:val="5"/>
        </w:numPr>
        <w:tabs>
          <w:tab w:val="left" w:pos="1062"/>
        </w:tabs>
        <w:spacing w:before="1" w:line="403" w:lineRule="auto"/>
        <w:ind w:right="319" w:firstLine="520"/>
        <w:jc w:val="both"/>
        <w:rPr>
          <w:sz w:val="26"/>
        </w:rPr>
      </w:pPr>
      <w:r>
        <w:rPr>
          <w:spacing w:val="-4"/>
          <w:sz w:val="26"/>
        </w:rPr>
        <w:t>会计基本原理，包括会计概念、会计循环、会计方法、应用复式记</w:t>
      </w:r>
      <w:r>
        <w:rPr>
          <w:spacing w:val="-3"/>
          <w:sz w:val="26"/>
        </w:rPr>
        <w:t>账记录交易或事项、会计政策的选择和会计估计的运用原则、财务报告的</w:t>
      </w:r>
      <w:r>
        <w:rPr>
          <w:sz w:val="26"/>
        </w:rPr>
        <w:t>目标和编制方法等；</w:t>
      </w:r>
    </w:p>
    <w:p w:rsidR="006F6FA3" w:rsidRDefault="006F6FA3" w:rsidP="006F6FA3">
      <w:pPr>
        <w:pStyle w:val="a6"/>
        <w:numPr>
          <w:ilvl w:val="0"/>
          <w:numId w:val="5"/>
        </w:numPr>
        <w:tabs>
          <w:tab w:val="left" w:pos="1062"/>
        </w:tabs>
        <w:spacing w:before="1" w:line="403" w:lineRule="auto"/>
        <w:ind w:right="193" w:firstLine="520"/>
        <w:rPr>
          <w:sz w:val="26"/>
        </w:rPr>
      </w:pPr>
      <w:r>
        <w:rPr>
          <w:spacing w:val="-2"/>
          <w:sz w:val="26"/>
        </w:rPr>
        <w:t>交易或事项的具体会计处理，包括对相关交易或事项会计政策的选</w:t>
      </w:r>
      <w:r>
        <w:rPr>
          <w:spacing w:val="-14"/>
          <w:sz w:val="26"/>
        </w:rPr>
        <w:t>择、会计估计运用，以及各项会计要素的确认与计量和具体会计处理方法；</w:t>
      </w:r>
    </w:p>
    <w:p w:rsidR="006F6FA3" w:rsidRDefault="006F6FA3" w:rsidP="006F6FA3">
      <w:pPr>
        <w:pStyle w:val="a6"/>
        <w:numPr>
          <w:ilvl w:val="0"/>
          <w:numId w:val="5"/>
        </w:numPr>
        <w:tabs>
          <w:tab w:val="left" w:pos="1062"/>
        </w:tabs>
        <w:spacing w:line="403" w:lineRule="auto"/>
        <w:ind w:right="319" w:firstLine="520"/>
        <w:jc w:val="both"/>
        <w:rPr>
          <w:sz w:val="26"/>
        </w:rPr>
      </w:pPr>
      <w:r>
        <w:rPr>
          <w:spacing w:val="-2"/>
          <w:sz w:val="26"/>
        </w:rPr>
        <w:t>特定环境下交易或事项的会计处理，包括运用会计基本原理在特定</w:t>
      </w:r>
      <w:r>
        <w:rPr>
          <w:spacing w:val="6"/>
          <w:w w:val="95"/>
          <w:sz w:val="26"/>
        </w:rPr>
        <w:t>环境下对交易或事项实质的判断、</w:t>
      </w:r>
      <w:proofErr w:type="gramStart"/>
      <w:r>
        <w:rPr>
          <w:spacing w:val="6"/>
          <w:w w:val="95"/>
          <w:sz w:val="26"/>
        </w:rPr>
        <w:t>作出</w:t>
      </w:r>
      <w:proofErr w:type="gramEnd"/>
      <w:r>
        <w:rPr>
          <w:spacing w:val="6"/>
          <w:w w:val="95"/>
          <w:sz w:val="26"/>
        </w:rPr>
        <w:t xml:space="preserve">会计政策的选择和会计估计的运  </w:t>
      </w:r>
      <w:r>
        <w:rPr>
          <w:spacing w:val="6"/>
          <w:sz w:val="26"/>
        </w:rPr>
        <w:t>用，并进行具体会计处理；</w:t>
      </w:r>
    </w:p>
    <w:p w:rsidR="006F6FA3" w:rsidRDefault="006F6FA3" w:rsidP="006F6FA3">
      <w:pPr>
        <w:pStyle w:val="a6"/>
        <w:numPr>
          <w:ilvl w:val="0"/>
          <w:numId w:val="5"/>
        </w:numPr>
        <w:tabs>
          <w:tab w:val="left" w:pos="1062"/>
        </w:tabs>
        <w:spacing w:before="1"/>
        <w:ind w:left="1061"/>
        <w:rPr>
          <w:sz w:val="26"/>
        </w:rPr>
      </w:pPr>
      <w:r>
        <w:rPr>
          <w:sz w:val="26"/>
        </w:rPr>
        <w:t>财务报告编制，包括根据交易或事项处理结果，编制财务报告；</w:t>
      </w:r>
    </w:p>
    <w:p w:rsidR="006F6FA3" w:rsidRDefault="006F6FA3" w:rsidP="006F6FA3">
      <w:pPr>
        <w:pStyle w:val="a6"/>
        <w:numPr>
          <w:ilvl w:val="0"/>
          <w:numId w:val="5"/>
        </w:numPr>
        <w:tabs>
          <w:tab w:val="left" w:pos="1062"/>
        </w:tabs>
        <w:spacing w:before="228" w:line="403" w:lineRule="auto"/>
        <w:ind w:right="193" w:firstLine="520"/>
        <w:rPr>
          <w:sz w:val="26"/>
        </w:rPr>
      </w:pPr>
      <w:r>
        <w:rPr>
          <w:spacing w:val="-12"/>
          <w:sz w:val="26"/>
        </w:rPr>
        <w:t>合并财务报表编制，包括合并范围判断、内部交易</w:t>
      </w:r>
      <w:proofErr w:type="gramStart"/>
      <w:r>
        <w:rPr>
          <w:spacing w:val="-12"/>
          <w:sz w:val="26"/>
        </w:rPr>
        <w:t>抵销</w:t>
      </w:r>
      <w:proofErr w:type="gramEnd"/>
      <w:r>
        <w:rPr>
          <w:spacing w:val="-12"/>
          <w:sz w:val="26"/>
        </w:rPr>
        <w:t>、合并程序、</w:t>
      </w:r>
      <w:r>
        <w:rPr>
          <w:sz w:val="26"/>
        </w:rPr>
        <w:t>编制方法；</w:t>
      </w:r>
    </w:p>
    <w:p w:rsidR="006F6FA3" w:rsidRDefault="006F6FA3" w:rsidP="006F6FA3">
      <w:pPr>
        <w:pStyle w:val="a6"/>
        <w:numPr>
          <w:ilvl w:val="0"/>
          <w:numId w:val="5"/>
        </w:numPr>
        <w:tabs>
          <w:tab w:val="left" w:pos="1062"/>
        </w:tabs>
        <w:spacing w:line="405" w:lineRule="auto"/>
        <w:ind w:right="319" w:firstLine="520"/>
        <w:rPr>
          <w:sz w:val="26"/>
        </w:rPr>
      </w:pPr>
      <w:r>
        <w:rPr>
          <w:spacing w:val="-4"/>
          <w:sz w:val="26"/>
        </w:rPr>
        <w:t>会计法规，包括《会计法》、《企业财务报告条例》、《企业会计</w:t>
      </w:r>
      <w:r>
        <w:rPr>
          <w:sz w:val="26"/>
        </w:rPr>
        <w:t>准则》等在内的会计法规体系，以及注册会计师职业道德。</w:t>
      </w:r>
    </w:p>
    <w:p w:rsidR="006F6FA3" w:rsidRDefault="006F6FA3" w:rsidP="006F6FA3">
      <w:pPr>
        <w:spacing w:before="111"/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考试内容与能力等级</w:t>
      </w:r>
    </w:p>
    <w:p w:rsidR="006F6FA3" w:rsidRDefault="006F6FA3" w:rsidP="006F6FA3">
      <w:pPr>
        <w:pStyle w:val="a5"/>
        <w:spacing w:before="5"/>
        <w:ind w:left="0"/>
        <w:rPr>
          <w:rFonts w:ascii="黑体"/>
          <w:sz w:val="26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467"/>
        </w:trPr>
        <w:tc>
          <w:tcPr>
            <w:tcW w:w="6949" w:type="dxa"/>
          </w:tcPr>
          <w:p w:rsidR="006F6FA3" w:rsidRDefault="006F6FA3" w:rsidP="007804DC">
            <w:pPr>
              <w:pStyle w:val="TableParagraph"/>
              <w:spacing w:before="81"/>
              <w:ind w:left="569" w:right="5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考试内容</w:t>
            </w:r>
            <w:proofErr w:type="spellEnd"/>
          </w:p>
        </w:tc>
        <w:tc>
          <w:tcPr>
            <w:tcW w:w="1558" w:type="dxa"/>
          </w:tcPr>
          <w:p w:rsidR="006F6FA3" w:rsidRDefault="006F6FA3" w:rsidP="007804DC">
            <w:pPr>
              <w:pStyle w:val="TableParagraph"/>
              <w:spacing w:before="81"/>
              <w:ind w:left="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能力等级</w:t>
            </w:r>
            <w:proofErr w:type="spellEnd"/>
          </w:p>
        </w:tc>
      </w:tr>
      <w:tr w:rsidR="006F6FA3" w:rsidTr="007804DC">
        <w:trPr>
          <w:trHeight w:val="464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一、会计基本原理</w:t>
            </w:r>
            <w:proofErr w:type="spellEnd"/>
          </w:p>
        </w:tc>
        <w:tc>
          <w:tcPr>
            <w:tcW w:w="1558" w:type="dxa"/>
            <w:vMerge w:val="restart"/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5"/>
              <w:ind w:left="0"/>
              <w:rPr>
                <w:rFonts w:ascii="黑体"/>
                <w:sz w:val="31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5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75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（一）会计的基本概念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F6FA3" w:rsidRDefault="006F6FA3" w:rsidP="007804DC">
            <w:pPr>
              <w:rPr>
                <w:sz w:val="2"/>
                <w:szCs w:val="2"/>
                <w:lang w:eastAsia="zh-CN"/>
              </w:rPr>
            </w:pPr>
          </w:p>
        </w:tc>
      </w:tr>
      <w:tr w:rsidR="006F6FA3" w:rsidTr="007804DC">
        <w:trPr>
          <w:trHeight w:val="475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75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1.定义、作用、我国企业会计准则体系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F6FA3" w:rsidRDefault="006F6FA3" w:rsidP="007804DC">
            <w:pPr>
              <w:rPr>
                <w:sz w:val="2"/>
                <w:szCs w:val="2"/>
                <w:lang w:eastAsia="zh-CN"/>
              </w:rPr>
            </w:pPr>
          </w:p>
        </w:tc>
      </w:tr>
    </w:tbl>
    <w:p w:rsidR="006F6FA3" w:rsidRDefault="006F6FA3" w:rsidP="006F6FA3">
      <w:pPr>
        <w:rPr>
          <w:sz w:val="2"/>
          <w:szCs w:val="2"/>
        </w:rPr>
        <w:sectPr w:rsidR="006F6FA3">
          <w:pgSz w:w="11910" w:h="16840"/>
          <w:pgMar w:top="15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3291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6F6FA3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spacing w:before="79"/>
              <w:ind w:hanging="242"/>
              <w:rPr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lastRenderedPageBreak/>
              <w:t>账户和复式记账：会计等式、账户、复式记账、账务处理</w:t>
            </w:r>
          </w:p>
          <w:p w:rsidR="006F6FA3" w:rsidRDefault="006F6FA3" w:rsidP="007804DC">
            <w:pPr>
              <w:pStyle w:val="TableParagraph"/>
              <w:spacing w:before="1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程序</w:t>
            </w:r>
            <w:proofErr w:type="spellEnd"/>
          </w:p>
          <w:p w:rsidR="006F6FA3" w:rsidRDefault="006F6FA3" w:rsidP="006F6FA3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spacing w:before="160"/>
              <w:ind w:hanging="242"/>
              <w:rPr>
                <w:sz w:val="24"/>
              </w:rPr>
            </w:pPr>
            <w:proofErr w:type="spellStart"/>
            <w:r>
              <w:rPr>
                <w:sz w:val="24"/>
              </w:rPr>
              <w:t>会计循环</w:t>
            </w:r>
            <w:proofErr w:type="spellEnd"/>
          </w:p>
          <w:p w:rsidR="006F6FA3" w:rsidRDefault="006F6FA3" w:rsidP="006F6FA3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spacing w:before="161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权责发生制和收付实现制</w:t>
            </w:r>
          </w:p>
          <w:p w:rsidR="006F6FA3" w:rsidRDefault="006F6FA3" w:rsidP="006F6FA3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spacing w:before="160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资产负债观和收入费用观</w:t>
            </w:r>
          </w:p>
          <w:p w:rsidR="006F6FA3" w:rsidRDefault="006F6FA3" w:rsidP="007804DC">
            <w:pPr>
              <w:pStyle w:val="TableParagraph"/>
              <w:spacing w:before="161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（二）会计要素</w:t>
            </w:r>
          </w:p>
          <w:p w:rsidR="006F6FA3" w:rsidRDefault="006F6FA3" w:rsidP="007804DC">
            <w:pPr>
              <w:pStyle w:val="TableParagraph"/>
              <w:spacing w:before="16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1.会计要素的定义及其确认条件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9"/>
              <w:ind w:left="0"/>
              <w:rPr>
                <w:rFonts w:ascii="黑体"/>
                <w:sz w:val="18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F6FA3" w:rsidRDefault="006F6FA3" w:rsidP="007804DC"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F6FA3" w:rsidRDefault="006F6FA3" w:rsidP="007804DC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F6FA3" w:rsidRDefault="006F6FA3" w:rsidP="007804DC"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"/>
              <w:ind w:left="0"/>
              <w:rPr>
                <w:rFonts w:ascii="黑体"/>
                <w:sz w:val="25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83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96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2.会计要素计量属性及应用原则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三）财务报告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财务报告目标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会计基本假设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会计基础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4.财务报告的定义、构成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76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（四）会计信息质量要求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二、会计政策和会计估计及其变更及其会计差错更正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（一）会计政策及其变更的概述（包括如何确定企业的会计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政策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（二）会计估计及其变更的概述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（三）会计政策与会计估计及其变更的划分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（四）会计政策和会计估计变更的会计处理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1.会计政策变更的会计处理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2.会计估计变更的会计处理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533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（五）会计差错更正的会计处理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三、存货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（一）存货的性质及确认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（二）存货的初始计量（不同来源取得的存货的初始计量）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（三）存货发出的计量及成本结转（不同流转方式下存货发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出的计量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507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（四）存货的清查盘点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F6FA3" w:rsidRDefault="006F6FA3" w:rsidP="006F6FA3">
      <w:pPr>
        <w:jc w:val="center"/>
        <w:rPr>
          <w:sz w:val="24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939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四、固定资产</w:t>
            </w:r>
          </w:p>
          <w:p w:rsidR="006F6FA3" w:rsidRDefault="006F6FA3" w:rsidP="007804DC">
            <w:pPr>
              <w:pStyle w:val="TableParagraph"/>
              <w:spacing w:before="161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（一）固定资产的性质及确认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9"/>
              <w:ind w:left="0"/>
              <w:rPr>
                <w:rFonts w:ascii="黑体"/>
                <w:sz w:val="18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72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5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（二）固定资产的初始计量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1.不同来源固定资产的初始计量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2.弃置费用在初始计量时的处理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（三）固定资产的折旧（折旧方法及不同折旧方法应用）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（四）固定资产后续支出的确认和计量（资本化、费用化）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（五）固定资产的处置（出售、报废等）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五、无形资产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（一）无形资产的性质及确认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 w:right="-2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</w:t>
            </w:r>
            <w:r>
              <w:rPr>
                <w:spacing w:val="-56"/>
                <w:sz w:val="24"/>
                <w:lang w:eastAsia="zh-CN"/>
              </w:rPr>
              <w:t>）</w:t>
            </w:r>
            <w:r>
              <w:rPr>
                <w:spacing w:val="-7"/>
                <w:sz w:val="24"/>
                <w:lang w:eastAsia="zh-CN"/>
              </w:rPr>
              <w:t>无形资产的初始计量</w:t>
            </w:r>
            <w:r>
              <w:rPr>
                <w:sz w:val="24"/>
                <w:lang w:eastAsia="zh-CN"/>
              </w:rPr>
              <w:t>（不同来源无形资产的初始计量）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935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 w:right="-2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</w:t>
            </w:r>
            <w:r>
              <w:rPr>
                <w:spacing w:val="-56"/>
                <w:sz w:val="24"/>
                <w:lang w:eastAsia="zh-CN"/>
              </w:rPr>
              <w:t>）</w:t>
            </w:r>
            <w:r>
              <w:rPr>
                <w:spacing w:val="-7"/>
                <w:sz w:val="24"/>
                <w:lang w:eastAsia="zh-CN"/>
              </w:rPr>
              <w:t>内部研究与开发支出</w:t>
            </w:r>
            <w:r>
              <w:rPr>
                <w:sz w:val="24"/>
                <w:lang w:eastAsia="zh-CN"/>
              </w:rPr>
              <w:t>（包括不同阶段研发支出的确认、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计量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 w:right="-2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</w:t>
            </w:r>
            <w:r>
              <w:rPr>
                <w:spacing w:val="-56"/>
                <w:sz w:val="24"/>
                <w:lang w:eastAsia="zh-CN"/>
              </w:rPr>
              <w:t>）</w:t>
            </w:r>
            <w:r>
              <w:rPr>
                <w:spacing w:val="-7"/>
                <w:sz w:val="24"/>
                <w:lang w:eastAsia="zh-CN"/>
              </w:rPr>
              <w:t>无形资产的后续计量</w:t>
            </w:r>
            <w:r>
              <w:rPr>
                <w:sz w:val="24"/>
                <w:lang w:eastAsia="zh-CN"/>
              </w:rPr>
              <w:t>（使用寿命有限或使用寿命无限）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（五）无形资产的处置（出租、出售、报废等）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六、投资性房地产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（一）投资性房地产的性质和确认（定义、特征、范围）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（二）投资性房地产的初始计量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 w:right="-2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</w:t>
            </w:r>
            <w:r>
              <w:rPr>
                <w:spacing w:val="-56"/>
                <w:sz w:val="24"/>
                <w:lang w:eastAsia="zh-CN"/>
              </w:rPr>
              <w:t>）</w:t>
            </w:r>
            <w:r>
              <w:rPr>
                <w:spacing w:val="-6"/>
                <w:sz w:val="24"/>
                <w:lang w:eastAsia="zh-CN"/>
              </w:rPr>
              <w:t>投资性房地产后续计量</w:t>
            </w:r>
            <w:r>
              <w:rPr>
                <w:sz w:val="24"/>
                <w:lang w:eastAsia="zh-CN"/>
              </w:rPr>
              <w:t>（包括后续支出的确认和计量）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（四）投资性房地产的转换和处置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（五）投资性房地产后续计量模式的变更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七、金融工具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一）金融工具概述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（二）金融资产和金融负债的分类和重分类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（三）金融负债和权益工具的区分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84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（四）金融工具的计量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84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97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五）金融资产转移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937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（六）套期会计</w:t>
            </w:r>
          </w:p>
          <w:p w:rsidR="006F6FA3" w:rsidRDefault="006F6FA3" w:rsidP="007804DC">
            <w:pPr>
              <w:pStyle w:val="TableParagraph"/>
              <w:spacing w:before="161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（七）金融工具披露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F6FA3" w:rsidRDefault="006F6FA3" w:rsidP="007804DC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F6FA3" w:rsidRDefault="006F6FA3" w:rsidP="006F6FA3">
      <w:pPr>
        <w:jc w:val="center"/>
        <w:rPr>
          <w:sz w:val="24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939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八、长期股权投资及企业合并（包括个别和合并报表）</w:t>
            </w:r>
          </w:p>
          <w:p w:rsidR="006F6FA3" w:rsidRDefault="006F6FA3" w:rsidP="007804DC">
            <w:pPr>
              <w:pStyle w:val="TableParagraph"/>
              <w:spacing w:before="161"/>
              <w:ind w:left="587" w:right="-2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</w:t>
            </w:r>
            <w:r>
              <w:rPr>
                <w:spacing w:val="-22"/>
                <w:sz w:val="24"/>
                <w:lang w:eastAsia="zh-CN"/>
              </w:rPr>
              <w:t>）</w:t>
            </w:r>
            <w:r>
              <w:rPr>
                <w:spacing w:val="-6"/>
                <w:sz w:val="24"/>
                <w:lang w:eastAsia="zh-CN"/>
              </w:rPr>
              <w:t>基本概念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9"/>
                <w:sz w:val="24"/>
                <w:lang w:eastAsia="zh-CN"/>
              </w:rPr>
              <w:t>联营企业、合营企业、子公司、企业合并</w:t>
            </w:r>
            <w:r>
              <w:rPr>
                <w:spacing w:val="-10"/>
                <w:sz w:val="24"/>
                <w:lang w:eastAsia="zh-CN"/>
              </w:rPr>
              <w:t>）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9"/>
              <w:ind w:left="0"/>
              <w:rPr>
                <w:rFonts w:ascii="黑体"/>
                <w:sz w:val="18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72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5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（二）对联营、合营企业和子公司投资的初始计量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1.对联营、合营企业投资的初始计量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2.对子公司投资的初始计量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pacing w:val="-19"/>
                <w:sz w:val="24"/>
                <w:lang w:eastAsia="zh-CN"/>
              </w:rPr>
              <w:t>（1）</w:t>
            </w:r>
            <w:r>
              <w:rPr>
                <w:spacing w:val="-3"/>
                <w:sz w:val="24"/>
                <w:lang w:eastAsia="zh-CN"/>
              </w:rPr>
              <w:t>同一控制下企业合并取得子公司的初始计量</w:t>
            </w:r>
            <w:r>
              <w:rPr>
                <w:sz w:val="24"/>
                <w:lang w:eastAsia="zh-CN"/>
              </w:rPr>
              <w:t>（不同合并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方式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pacing w:val="-19"/>
                <w:sz w:val="24"/>
                <w:lang w:eastAsia="zh-CN"/>
              </w:rPr>
              <w:t>（2）</w:t>
            </w:r>
            <w:r>
              <w:rPr>
                <w:spacing w:val="-3"/>
                <w:sz w:val="24"/>
                <w:lang w:eastAsia="zh-CN"/>
              </w:rPr>
              <w:t>非同一控制下企业合并取得子公司的初始计量</w:t>
            </w:r>
            <w:r>
              <w:rPr>
                <w:sz w:val="24"/>
                <w:lang w:eastAsia="zh-CN"/>
              </w:rPr>
              <w:t>（不同合</w:t>
            </w:r>
          </w:p>
          <w:p w:rsidR="006F6FA3" w:rsidRDefault="006F6FA3" w:rsidP="007804DC">
            <w:pPr>
              <w:pStyle w:val="TableParagraph"/>
              <w:spacing w:before="1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并方式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（三）对联营、合营企业和子公司投资的后续计量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成本法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权益法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（四）权益性投资核算方法的转换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权益法与成本法转换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2.成本法与公允价值计量转换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3.权益法与公允价值计量转换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（五）合营安排（包括与合营安排相关的概念、确认和计量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原则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九、资产减值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（一）资产减值的基本概念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（二）存货跌价准备的确认和计量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937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（三）其他资产减值的确认和计量（包括范围、减值迹象的</w:t>
            </w:r>
          </w:p>
          <w:p w:rsidR="006F6FA3" w:rsidRDefault="006F6FA3" w:rsidP="007804DC">
            <w:pPr>
              <w:pStyle w:val="TableParagraph"/>
              <w:spacing w:before="1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判断、减值方法等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518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十、负债和所有者权益</w:t>
            </w:r>
          </w:p>
        </w:tc>
        <w:tc>
          <w:tcPr>
            <w:tcW w:w="1558" w:type="dxa"/>
            <w:vMerge w:val="restart"/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4"/>
              <w:ind w:left="0"/>
              <w:rPr>
                <w:rFonts w:ascii="黑体"/>
                <w:sz w:val="28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511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129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一）负债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6F6FA3" w:rsidRDefault="006F6FA3" w:rsidP="007804DC">
            <w:pPr>
              <w:rPr>
                <w:sz w:val="2"/>
                <w:szCs w:val="2"/>
              </w:rPr>
            </w:pPr>
          </w:p>
        </w:tc>
      </w:tr>
      <w:tr w:rsidR="006F6FA3" w:rsidTr="007804DC">
        <w:trPr>
          <w:trHeight w:val="931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75"/>
              <w:ind w:left="707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1.负债的确认和计量（</w:t>
            </w:r>
            <w:r>
              <w:rPr>
                <w:spacing w:val="-1"/>
                <w:sz w:val="24"/>
                <w:lang w:eastAsia="zh-CN"/>
              </w:rPr>
              <w:t>包括范围、确认、初始和后续计量、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借款费用的处理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F6FA3" w:rsidRDefault="006F6FA3" w:rsidP="007804DC">
            <w:pPr>
              <w:rPr>
                <w:sz w:val="2"/>
                <w:szCs w:val="2"/>
              </w:rPr>
            </w:pPr>
          </w:p>
        </w:tc>
      </w:tr>
    </w:tbl>
    <w:p w:rsidR="006F6FA3" w:rsidRDefault="006F6FA3" w:rsidP="006F6FA3">
      <w:pPr>
        <w:rPr>
          <w:sz w:val="2"/>
          <w:szCs w:val="2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1871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6F6FA3">
            <w:pPr>
              <w:pStyle w:val="TableParagraph"/>
              <w:numPr>
                <w:ilvl w:val="0"/>
                <w:numId w:val="3"/>
              </w:numPr>
              <w:tabs>
                <w:tab w:val="left" w:pos="949"/>
              </w:tabs>
              <w:spacing w:before="79" w:line="364" w:lineRule="auto"/>
              <w:ind w:right="98" w:firstLine="599"/>
              <w:jc w:val="both"/>
              <w:rPr>
                <w:sz w:val="24"/>
                <w:lang w:eastAsia="zh-CN"/>
              </w:rPr>
            </w:pPr>
            <w:r>
              <w:rPr>
                <w:spacing w:val="-6"/>
                <w:sz w:val="24"/>
                <w:lang w:eastAsia="zh-CN"/>
              </w:rPr>
              <w:lastRenderedPageBreak/>
              <w:t>职工薪酬的确认和计量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6"/>
                <w:sz w:val="24"/>
                <w:lang w:eastAsia="zh-CN"/>
              </w:rPr>
              <w:t>包括货币性和非货币性薪酬、与</w:t>
            </w:r>
            <w:r>
              <w:rPr>
                <w:spacing w:val="-1"/>
                <w:sz w:val="24"/>
                <w:lang w:eastAsia="zh-CN"/>
              </w:rPr>
              <w:t>离职后福利相关的设定提存计划、设定受益计划、辞退福利以及</w:t>
            </w:r>
            <w:r>
              <w:rPr>
                <w:sz w:val="24"/>
                <w:lang w:eastAsia="zh-CN"/>
              </w:rPr>
              <w:t>以现金或权益结算的股份支付）</w:t>
            </w:r>
          </w:p>
          <w:p w:rsidR="006F6FA3" w:rsidRDefault="006F6FA3" w:rsidP="006F6FA3">
            <w:pPr>
              <w:pStyle w:val="TableParagraph"/>
              <w:numPr>
                <w:ilvl w:val="0"/>
                <w:numId w:val="3"/>
              </w:numPr>
              <w:tabs>
                <w:tab w:val="left" w:pos="949"/>
              </w:tabs>
              <w:spacing w:before="2"/>
              <w:ind w:left="948"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其他负债的确认和计量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3"/>
              <w:ind w:left="0"/>
              <w:rPr>
                <w:rFonts w:ascii="黑体"/>
                <w:sz w:val="31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F6FA3" w:rsidRDefault="006F6FA3" w:rsidP="007804DC"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4.或有事项的确认和预计负债的计量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二）所有者权益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>
              <w:rPr>
                <w:spacing w:val="-7"/>
                <w:sz w:val="24"/>
                <w:lang w:eastAsia="zh-CN"/>
              </w:rPr>
              <w:t>实收资本和其他权益工具的确认和计量</w:t>
            </w:r>
            <w:r>
              <w:rPr>
                <w:sz w:val="24"/>
                <w:lang w:eastAsia="zh-CN"/>
              </w:rPr>
              <w:t>（包括个别和合并</w:t>
            </w:r>
          </w:p>
          <w:p w:rsidR="006F6FA3" w:rsidRDefault="006F6FA3" w:rsidP="007804DC">
            <w:pPr>
              <w:pStyle w:val="TableParagraph"/>
              <w:spacing w:before="1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报表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2.资本公积的确认和计量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3.其他综合收益的确认和计量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4.留存收益（包括利润分配事项）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十一、收入、费用和利润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一）收入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收入的定义及其分类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收入的确认和计量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合同成本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spellStart"/>
            <w:r>
              <w:rPr>
                <w:sz w:val="24"/>
              </w:rPr>
              <w:t>特定交易的会计处理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二）政府补助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7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（三）期间费用的构成及确认和计量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7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8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（四）营业外收支的范围及确认和计量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8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（五）利润的构成及相关会计处理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78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2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十二、非货币性资产交换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7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8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（一）非货币性资产交换的概念（包括定义、范围等）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8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（二）非货币性资产交换的确认与计量（原则、商业实质的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判断等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（三）非货币性资产交换的会计处理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1.以公允价值计量的非货币性资产交换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2.以账面价值计量的非货币性资产交换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3.涉及多项非货币性资产的交换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F6FA3" w:rsidRDefault="006F6FA3" w:rsidP="006F6FA3">
      <w:pPr>
        <w:rPr>
          <w:sz w:val="24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467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7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十三、债务重组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（一）债务重组的概念（包括定义、重组方式等）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93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（二）债务重组的会计处理</w:t>
            </w:r>
          </w:p>
          <w:p w:rsidR="006F6FA3" w:rsidRDefault="006F6FA3" w:rsidP="007804DC">
            <w:pPr>
              <w:pStyle w:val="TableParagraph"/>
              <w:spacing w:before="16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以资产清偿债务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修改其他债务条件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516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3.以组合方式进行的债务重组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707"/>
              <w:rPr>
                <w:sz w:val="24"/>
              </w:rPr>
            </w:pPr>
            <w:proofErr w:type="spellStart"/>
            <w:r>
              <w:rPr>
                <w:sz w:val="24"/>
              </w:rPr>
              <w:t>十四、所得税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（一）所得税核算的基本原理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1.资产负债表债务法的理论基础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2.所得税会计的一般程序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（二）资产、负债的计税基础及暂时性差异的认定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资产的计税基础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负债的计税基础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暂时性差异的确定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4.特殊交易或事项产生的资产、负债计税基础的确定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（三）递延所得税负债及递延所得税资产的确认和计量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1.递延所得税负债的确认和计量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2.递延所得税资产的确认和计量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（四）所得税费用的确认和计量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当期所得税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递延所得税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spellStart"/>
            <w:r>
              <w:rPr>
                <w:sz w:val="24"/>
              </w:rPr>
              <w:t>所得税费用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516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（五）利润总额与所得税费用的调整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84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十五、外币折算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83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96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一）记账本位币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1.企业记账本位币的确定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2.境外经营记账本位币的确定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3.记账本位币变更的会计处理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（二）外币交易的会计处理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</w:tbl>
    <w:p w:rsidR="006F6FA3" w:rsidRDefault="006F6FA3" w:rsidP="006F6FA3">
      <w:pPr>
        <w:rPr>
          <w:rFonts w:ascii="Times New Roman"/>
          <w:sz w:val="24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467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7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proofErr w:type="spellStart"/>
            <w:r>
              <w:rPr>
                <w:sz w:val="24"/>
              </w:rPr>
              <w:t>外币交易的核算程序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汇率的确定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93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69" w:right="369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3.外币交易的会计处理</w:t>
            </w:r>
          </w:p>
          <w:p w:rsidR="006F6FA3" w:rsidRDefault="006F6FA3" w:rsidP="007804DC">
            <w:pPr>
              <w:pStyle w:val="TableParagraph"/>
              <w:spacing w:before="160"/>
              <w:ind w:left="569" w:right="369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（三）外币财务报表折算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1.境外经营财务报表的折算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1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境外经营的处置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十六、租赁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一）租赁的识别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（二）租赁的分拆与合并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三）租赁期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（四）承租人的会计处理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（五）出租人的会计处理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（六）特殊租赁业务的会计处理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十七、财务报表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（一）财务报表列报原则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二）个别财务报表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1403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（三）合并财务报表</w:t>
            </w:r>
          </w:p>
          <w:p w:rsidR="006F6FA3" w:rsidRDefault="006F6FA3" w:rsidP="007804DC">
            <w:pPr>
              <w:pStyle w:val="TableParagraph"/>
              <w:spacing w:before="8" w:line="460" w:lineRule="atLeast"/>
              <w:ind w:left="107" w:right="97" w:firstLine="59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>
              <w:rPr>
                <w:spacing w:val="-6"/>
                <w:sz w:val="24"/>
                <w:lang w:eastAsia="zh-CN"/>
              </w:rPr>
              <w:t>合并范围的确定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8"/>
                <w:sz w:val="24"/>
                <w:lang w:eastAsia="zh-CN"/>
              </w:rPr>
              <w:t>包括控制的判断、合并范围的豁免、投</w:t>
            </w:r>
            <w:r>
              <w:rPr>
                <w:sz w:val="24"/>
                <w:lang w:eastAsia="zh-CN"/>
              </w:rPr>
              <w:t>资性主体的概念等）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4"/>
              <w:ind w:left="0"/>
              <w:rPr>
                <w:rFonts w:ascii="黑体"/>
                <w:sz w:val="31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2.合并财务报表的格式、编制原则和基本程序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1872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 w:line="364" w:lineRule="auto"/>
              <w:ind w:left="107" w:right="99" w:firstLine="59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</w:t>
            </w:r>
            <w:r>
              <w:rPr>
                <w:spacing w:val="-19"/>
                <w:sz w:val="24"/>
                <w:lang w:eastAsia="zh-CN"/>
              </w:rPr>
              <w:t>合并抵销原则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1"/>
                <w:sz w:val="24"/>
                <w:lang w:eastAsia="zh-CN"/>
              </w:rPr>
              <w:t>包括对子公司投资与子公司所有者权益的抵销、内部交易在合并报表中的处理、特殊交易在合并报表中的处理、所得税在合并报表中的处理、增减对子公司的投资在合并</w:t>
            </w:r>
          </w:p>
          <w:p w:rsidR="006F6FA3" w:rsidRDefault="006F6FA3" w:rsidP="007804DC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报表中的处理，以及合并报表中对当期和前期事项的处理等）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11"/>
              <w:ind w:left="0"/>
              <w:rPr>
                <w:rFonts w:ascii="黑体"/>
                <w:sz w:val="19"/>
                <w:lang w:eastAsia="zh-CN"/>
              </w:rPr>
            </w:pPr>
          </w:p>
          <w:p w:rsidR="006F6FA3" w:rsidRDefault="006F6FA3" w:rsidP="007804DC">
            <w:pPr>
              <w:pStyle w:val="TableParagraph"/>
              <w:spacing w:before="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（四）每股收益的计算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（五）财务报表附注披露的原则和主要内容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（六）资产负债表日后事项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1.资产负债表日后事项的定义、涵盖期间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 w:right="-2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</w:t>
            </w:r>
            <w:r>
              <w:rPr>
                <w:spacing w:val="-9"/>
                <w:sz w:val="24"/>
                <w:lang w:eastAsia="zh-CN"/>
              </w:rPr>
              <w:t>资产负债表日后事项的会计处理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14"/>
                <w:sz w:val="24"/>
                <w:lang w:eastAsia="zh-CN"/>
              </w:rPr>
              <w:t>调整事项、非调整事项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F6FA3" w:rsidRDefault="006F6FA3" w:rsidP="006F6FA3">
      <w:pPr>
        <w:rPr>
          <w:sz w:val="24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58"/>
      </w:tblGrid>
      <w:tr w:rsidR="006F6FA3" w:rsidTr="007804DC">
        <w:trPr>
          <w:trHeight w:val="470"/>
        </w:trPr>
        <w:tc>
          <w:tcPr>
            <w:tcW w:w="6949" w:type="dxa"/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（七）持有待售的非流动资产、处置组和终止经营</w:t>
            </w:r>
          </w:p>
        </w:tc>
        <w:tc>
          <w:tcPr>
            <w:tcW w:w="1558" w:type="dxa"/>
          </w:tcPr>
          <w:p w:rsidR="006F6FA3" w:rsidRDefault="006F6FA3" w:rsidP="007804DC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十八、公允价值计量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935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（一）公允价值概念（包括主要市场、最有利市场、市场参</w:t>
            </w:r>
          </w:p>
          <w:p w:rsidR="006F6FA3" w:rsidRDefault="006F6FA3" w:rsidP="007804DC">
            <w:pPr>
              <w:pStyle w:val="TableParagraph"/>
              <w:spacing w:before="160"/>
              <w:ind w:left="587"/>
              <w:rPr>
                <w:sz w:val="24"/>
              </w:rPr>
            </w:pPr>
            <w:proofErr w:type="spellStart"/>
            <w:r>
              <w:rPr>
                <w:sz w:val="24"/>
              </w:rPr>
              <w:t>与者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93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二）公允价值计量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F6FA3" w:rsidTr="007804DC">
        <w:trPr>
          <w:trHeight w:val="493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105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</w:rPr>
              <w:t>公允价值的初始计量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spellStart"/>
            <w:r>
              <w:rPr>
                <w:sz w:val="24"/>
              </w:rPr>
              <w:t>估值技术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3.非金融资产的公允价值计量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7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4.负债和企业自身权益工具的公允价值计量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936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5.市场风险或信用风险可抵销的金融资产和金融负债的公</w:t>
            </w:r>
          </w:p>
          <w:p w:rsidR="006F6FA3" w:rsidRDefault="006F6FA3" w:rsidP="007804DC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允价值计量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6F6FA3" w:rsidRDefault="006F6FA3" w:rsidP="007804DC">
            <w:pPr>
              <w:pStyle w:val="TableParagraph"/>
              <w:spacing w:before="10"/>
              <w:ind w:left="0"/>
              <w:rPr>
                <w:rFonts w:ascii="黑体"/>
                <w:sz w:val="18"/>
              </w:rPr>
            </w:pPr>
          </w:p>
          <w:p w:rsidR="006F6FA3" w:rsidRDefault="006F6FA3" w:rsidP="007804D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FA3" w:rsidTr="007804DC">
        <w:trPr>
          <w:trHeight w:val="466"/>
        </w:trPr>
        <w:tc>
          <w:tcPr>
            <w:tcW w:w="6949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7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十九、政府及民间非盈利组织会计</w:t>
            </w:r>
          </w:p>
        </w:tc>
        <w:tc>
          <w:tcPr>
            <w:tcW w:w="1558" w:type="dxa"/>
            <w:tcBorders>
              <w:bottom w:val="nil"/>
            </w:tcBorders>
          </w:tcPr>
          <w:p w:rsidR="006F6FA3" w:rsidRDefault="006F6FA3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一）政府会计概述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8"/>
        </w:trPr>
        <w:tc>
          <w:tcPr>
            <w:tcW w:w="6949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（二）政府单位特定业务的会计核算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6FA3" w:rsidTr="007804DC">
        <w:trPr>
          <w:trHeight w:val="469"/>
        </w:trPr>
        <w:tc>
          <w:tcPr>
            <w:tcW w:w="6949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（三）民间非营利组织会计</w:t>
            </w:r>
          </w:p>
        </w:tc>
        <w:tc>
          <w:tcPr>
            <w:tcW w:w="1558" w:type="dxa"/>
            <w:tcBorders>
              <w:top w:val="nil"/>
            </w:tcBorders>
          </w:tcPr>
          <w:p w:rsidR="006F6FA3" w:rsidRDefault="006F6FA3" w:rsidP="007804DC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F6FA3" w:rsidRDefault="006F6FA3" w:rsidP="006F6FA3">
      <w:pPr>
        <w:pStyle w:val="a5"/>
        <w:spacing w:before="1"/>
        <w:ind w:left="0"/>
        <w:rPr>
          <w:rFonts w:ascii="黑体"/>
          <w:sz w:val="7"/>
        </w:rPr>
      </w:pPr>
    </w:p>
    <w:p w:rsidR="006F6FA3" w:rsidRDefault="006F6FA3" w:rsidP="006F6FA3">
      <w:pPr>
        <w:spacing w:before="58"/>
        <w:ind w:left="88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参考法规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263"/>
        <w:ind w:hanging="242"/>
        <w:rPr>
          <w:sz w:val="24"/>
        </w:rPr>
      </w:pPr>
      <w:r>
        <w:rPr>
          <w:sz w:val="24"/>
        </w:rPr>
        <w:t>中华人民共和国会计法（</w:t>
      </w:r>
      <w:r>
        <w:rPr>
          <w:spacing w:val="-4"/>
          <w:sz w:val="24"/>
        </w:rPr>
        <w:t>中华人民共和国</w:t>
      </w:r>
      <w:proofErr w:type="gramStart"/>
      <w:r>
        <w:rPr>
          <w:spacing w:val="-4"/>
          <w:sz w:val="24"/>
        </w:rPr>
        <w:t>主席令第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22"/>
          <w:sz w:val="24"/>
        </w:rPr>
        <w:t xml:space="preserve"> 号</w:t>
      </w:r>
      <w:r>
        <w:rPr>
          <w:sz w:val="24"/>
        </w:rPr>
        <w:t>，1999</w:t>
      </w:r>
      <w:r>
        <w:rPr>
          <w:spacing w:val="-29"/>
          <w:sz w:val="24"/>
        </w:rPr>
        <w:t xml:space="preserve"> 年 </w:t>
      </w:r>
      <w:r>
        <w:rPr>
          <w:sz w:val="24"/>
        </w:rPr>
        <w:t>10</w:t>
      </w:r>
      <w:r>
        <w:rPr>
          <w:spacing w:val="-22"/>
          <w:sz w:val="24"/>
        </w:rPr>
        <w:t xml:space="preserve"> 月</w:t>
      </w:r>
    </w:p>
    <w:p w:rsidR="006F6FA3" w:rsidRDefault="006F6FA3" w:rsidP="006F6FA3">
      <w:pPr>
        <w:pStyle w:val="a5"/>
        <w:spacing w:before="91"/>
      </w:pPr>
      <w:r>
        <w:t>31 日）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94"/>
        <w:ind w:hanging="242"/>
        <w:rPr>
          <w:sz w:val="24"/>
        </w:rPr>
      </w:pPr>
      <w:r>
        <w:rPr>
          <w:sz w:val="24"/>
        </w:rPr>
        <w:t>企业财务会计报告条例（</w:t>
      </w:r>
      <w:r>
        <w:rPr>
          <w:spacing w:val="-2"/>
          <w:sz w:val="24"/>
        </w:rPr>
        <w:t>中华人民共和国</w:t>
      </w:r>
      <w:proofErr w:type="gramStart"/>
      <w:r>
        <w:rPr>
          <w:spacing w:val="-2"/>
          <w:sz w:val="24"/>
        </w:rPr>
        <w:t>国务院令第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287</w:t>
      </w:r>
      <w:r>
        <w:rPr>
          <w:spacing w:val="-12"/>
          <w:sz w:val="24"/>
        </w:rPr>
        <w:t xml:space="preserve"> 号</w:t>
      </w:r>
      <w:r>
        <w:rPr>
          <w:sz w:val="24"/>
        </w:rPr>
        <w:t>，2000</w:t>
      </w:r>
      <w:r>
        <w:rPr>
          <w:spacing w:val="-16"/>
          <w:sz w:val="24"/>
        </w:rPr>
        <w:t xml:space="preserve"> 年 </w:t>
      </w:r>
      <w:r>
        <w:rPr>
          <w:sz w:val="24"/>
        </w:rPr>
        <w:t>6</w:t>
      </w:r>
    </w:p>
    <w:p w:rsidR="006F6FA3" w:rsidRDefault="006F6FA3" w:rsidP="006F6FA3">
      <w:pPr>
        <w:pStyle w:val="a5"/>
      </w:pPr>
      <w:r>
        <w:t>月 21 日）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91" w:line="314" w:lineRule="auto"/>
        <w:ind w:left="280" w:right="316" w:firstLine="479"/>
        <w:rPr>
          <w:sz w:val="24"/>
        </w:rPr>
      </w:pPr>
      <w:r>
        <w:rPr>
          <w:sz w:val="24"/>
        </w:rPr>
        <w:t>企业会计准则——基本准则（</w:t>
      </w:r>
      <w:r>
        <w:rPr>
          <w:spacing w:val="-4"/>
          <w:sz w:val="24"/>
        </w:rPr>
        <w:t>中华人民共和国</w:t>
      </w:r>
      <w:proofErr w:type="gramStart"/>
      <w:r>
        <w:rPr>
          <w:spacing w:val="-4"/>
          <w:sz w:val="24"/>
        </w:rPr>
        <w:t>财政部令第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76</w:t>
      </w:r>
      <w:r>
        <w:rPr>
          <w:spacing w:val="-11"/>
          <w:sz w:val="24"/>
        </w:rPr>
        <w:t xml:space="preserve"> 号——财政</w:t>
      </w:r>
      <w:r>
        <w:rPr>
          <w:sz w:val="24"/>
        </w:rPr>
        <w:t>部关于修改《企业会计准则——基本准则》的决定，2014</w:t>
      </w:r>
      <w:r>
        <w:rPr>
          <w:spacing w:val="-30"/>
          <w:sz w:val="24"/>
        </w:rPr>
        <w:t xml:space="preserve"> 年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line="304" w:lineRule="exact"/>
        <w:ind w:hanging="242"/>
        <w:rPr>
          <w:sz w:val="24"/>
        </w:rPr>
      </w:pPr>
      <w:r>
        <w:rPr>
          <w:sz w:val="24"/>
        </w:rPr>
        <w:t>企业会计准则（具体准则</w:t>
      </w:r>
      <w:r>
        <w:rPr>
          <w:spacing w:val="-120"/>
          <w:sz w:val="24"/>
        </w:rPr>
        <w:t>）</w:t>
      </w:r>
      <w:r>
        <w:rPr>
          <w:sz w:val="24"/>
        </w:rPr>
        <w:t>（财会[2006]3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91"/>
        <w:ind w:hanging="242"/>
        <w:rPr>
          <w:sz w:val="24"/>
        </w:rPr>
      </w:pPr>
      <w:r>
        <w:rPr>
          <w:sz w:val="24"/>
        </w:rPr>
        <w:t>企业会计准则应用指南（财会[2006]18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93"/>
        <w:ind w:hanging="242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1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（财会[2007]14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93"/>
        <w:ind w:hanging="242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2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（财会[2008]11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02"/>
        </w:tabs>
        <w:spacing w:before="91"/>
        <w:ind w:hanging="242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3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（财会[2009]8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025"/>
        </w:tabs>
        <w:spacing w:before="94" w:line="312" w:lineRule="auto"/>
        <w:ind w:left="280" w:right="316" w:firstLine="479"/>
        <w:rPr>
          <w:sz w:val="24"/>
        </w:rPr>
      </w:pPr>
      <w:r>
        <w:rPr>
          <w:spacing w:val="19"/>
          <w:sz w:val="24"/>
        </w:rPr>
        <w:t xml:space="preserve">关于做好执行企业会计准则企业 </w:t>
      </w:r>
      <w:r>
        <w:rPr>
          <w:sz w:val="24"/>
        </w:rPr>
        <w:t>2008</w:t>
      </w:r>
      <w:r>
        <w:rPr>
          <w:spacing w:val="21"/>
          <w:sz w:val="24"/>
        </w:rPr>
        <w:t xml:space="preserve"> 年年报工作的通知</w:t>
      </w:r>
      <w:r>
        <w:rPr>
          <w:sz w:val="24"/>
        </w:rPr>
        <w:t>（</w:t>
      </w:r>
      <w:r>
        <w:rPr>
          <w:spacing w:val="-14"/>
          <w:sz w:val="24"/>
        </w:rPr>
        <w:t xml:space="preserve"> 财会函[2008]60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6"/>
        </w:tabs>
        <w:spacing w:line="312" w:lineRule="auto"/>
        <w:ind w:left="280" w:right="308" w:firstLine="479"/>
        <w:rPr>
          <w:sz w:val="24"/>
        </w:rPr>
      </w:pPr>
      <w:r>
        <w:rPr>
          <w:spacing w:val="4"/>
          <w:sz w:val="24"/>
        </w:rPr>
        <w:t>关于不丧失控制权情况下处置部分对子公司投资会计处理的复函(财会</w:t>
      </w:r>
      <w:r>
        <w:rPr>
          <w:sz w:val="24"/>
        </w:rPr>
        <w:t>便[2009]14</w:t>
      </w:r>
      <w:r>
        <w:rPr>
          <w:spacing w:val="-20"/>
          <w:sz w:val="24"/>
        </w:rPr>
        <w:t xml:space="preserve"> 号)</w:t>
      </w:r>
    </w:p>
    <w:p w:rsidR="006F6FA3" w:rsidRDefault="006F6FA3" w:rsidP="006F6FA3">
      <w:pPr>
        <w:spacing w:line="312" w:lineRule="auto"/>
        <w:rPr>
          <w:sz w:val="24"/>
        </w:rPr>
        <w:sectPr w:rsidR="006F6FA3">
          <w:pgSz w:w="11910" w:h="16840"/>
          <w:pgMar w:top="1420" w:right="1480" w:bottom="280" w:left="1520" w:header="720" w:footer="720" w:gutter="0"/>
          <w:cols w:space="720"/>
        </w:sectPr>
      </w:pP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242"/>
        </w:tabs>
        <w:spacing w:before="41" w:line="312" w:lineRule="auto"/>
        <w:ind w:left="280" w:right="320" w:firstLine="479"/>
        <w:rPr>
          <w:sz w:val="24"/>
        </w:rPr>
      </w:pPr>
      <w:r>
        <w:rPr>
          <w:spacing w:val="-1"/>
          <w:sz w:val="24"/>
        </w:rPr>
        <w:lastRenderedPageBreak/>
        <w:t>关于非上市公司购买上市公司股权实现间接上市会计处理的复函(财会</w:t>
      </w:r>
      <w:r>
        <w:rPr>
          <w:sz w:val="24"/>
        </w:rPr>
        <w:t>便[2009]17</w:t>
      </w:r>
      <w:r>
        <w:rPr>
          <w:spacing w:val="-20"/>
          <w:sz w:val="24"/>
        </w:rPr>
        <w:t xml:space="preserve"> 号)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242"/>
        </w:tabs>
        <w:spacing w:line="312" w:lineRule="auto"/>
        <w:ind w:left="280" w:right="316" w:firstLine="479"/>
        <w:rPr>
          <w:sz w:val="24"/>
        </w:rPr>
      </w:pPr>
      <w:r>
        <w:rPr>
          <w:spacing w:val="-3"/>
          <w:sz w:val="24"/>
        </w:rPr>
        <w:t xml:space="preserve">关于执行会计准则的上市公司和非上市企业做好 </w:t>
      </w:r>
      <w:r>
        <w:rPr>
          <w:sz w:val="24"/>
        </w:rPr>
        <w:t>2009</w:t>
      </w:r>
      <w:r>
        <w:rPr>
          <w:spacing w:val="-9"/>
          <w:sz w:val="24"/>
        </w:rPr>
        <w:t xml:space="preserve"> 年年报工作的通</w:t>
      </w:r>
      <w:r>
        <w:rPr>
          <w:sz w:val="24"/>
        </w:rPr>
        <w:t>知（财会[2009]16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2"/>
        <w:ind w:left="1121" w:hanging="362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4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（财会[2010]15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1" w:line="312" w:lineRule="auto"/>
        <w:ind w:left="280" w:right="318" w:firstLine="479"/>
        <w:rPr>
          <w:sz w:val="24"/>
        </w:rPr>
      </w:pPr>
      <w:r>
        <w:rPr>
          <w:sz w:val="24"/>
        </w:rPr>
        <w:t>关于执行企业会计准则的上市公司和非上市企业做好 2010</w:t>
      </w:r>
      <w:r>
        <w:rPr>
          <w:spacing w:val="-2"/>
          <w:sz w:val="24"/>
        </w:rPr>
        <w:t xml:space="preserve"> 年年报工作</w:t>
      </w:r>
      <w:r>
        <w:rPr>
          <w:sz w:val="24"/>
        </w:rPr>
        <w:t>的通知（财会[2010]25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2"/>
        <w:ind w:left="1121" w:hanging="362"/>
        <w:rPr>
          <w:sz w:val="24"/>
        </w:rPr>
      </w:pPr>
      <w:r>
        <w:rPr>
          <w:sz w:val="24"/>
        </w:rPr>
        <w:t>关于做好执行企业会计准则的企业 2011 年年报监管工作的通知（财会</w:t>
      </w:r>
    </w:p>
    <w:p w:rsidR="006F6FA3" w:rsidRDefault="006F6FA3" w:rsidP="006F6FA3">
      <w:pPr>
        <w:pStyle w:val="a5"/>
        <w:spacing w:before="91"/>
      </w:pPr>
      <w:r>
        <w:t>[2011]25 号）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4"/>
        <w:ind w:left="1121" w:hanging="362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5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（财会[2012]19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38"/>
        </w:tabs>
        <w:spacing w:before="93" w:line="312" w:lineRule="auto"/>
        <w:ind w:left="280" w:right="324" w:firstLine="479"/>
        <w:rPr>
          <w:sz w:val="24"/>
        </w:rPr>
      </w:pPr>
      <w:r>
        <w:rPr>
          <w:spacing w:val="16"/>
          <w:sz w:val="24"/>
        </w:rPr>
        <w:t>关于印发《可再生能源电价附加有关会计处理规定》的通知（</w:t>
      </w:r>
      <w:r>
        <w:rPr>
          <w:spacing w:val="8"/>
          <w:sz w:val="24"/>
        </w:rPr>
        <w:t>财会[2012]24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40"/>
        </w:tabs>
        <w:spacing w:line="312" w:lineRule="auto"/>
        <w:ind w:left="280" w:right="319" w:firstLine="479"/>
        <w:rPr>
          <w:sz w:val="24"/>
        </w:rPr>
      </w:pPr>
      <w:r>
        <w:rPr>
          <w:spacing w:val="14"/>
          <w:sz w:val="24"/>
        </w:rPr>
        <w:t xml:space="preserve">关于做好执行企业会计准则的企业 </w:t>
      </w:r>
      <w:r>
        <w:rPr>
          <w:sz w:val="24"/>
        </w:rPr>
        <w:t>2012</w:t>
      </w:r>
      <w:r>
        <w:rPr>
          <w:spacing w:val="16"/>
          <w:sz w:val="24"/>
        </w:rPr>
        <w:t xml:space="preserve"> 年年报工作的通知</w:t>
      </w:r>
      <w:r>
        <w:rPr>
          <w:spacing w:val="18"/>
          <w:sz w:val="24"/>
        </w:rPr>
        <w:t>（</w:t>
      </w:r>
      <w:r>
        <w:rPr>
          <w:spacing w:val="9"/>
          <w:sz w:val="24"/>
        </w:rPr>
        <w:t>财会[2012]25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line="307" w:lineRule="exact"/>
        <w:ind w:left="1121" w:hanging="362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6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（财会〔2014〕1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39</w:t>
      </w:r>
      <w:r>
        <w:rPr>
          <w:spacing w:val="-8"/>
          <w:sz w:val="24"/>
        </w:rPr>
        <w:t xml:space="preserve"> 号——公允价值计量</w:t>
      </w:r>
      <w:r>
        <w:rPr>
          <w:sz w:val="24"/>
        </w:rPr>
        <w:t>（财会〔2014〕6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号——财务报表列报</w:t>
      </w:r>
      <w:r>
        <w:rPr>
          <w:sz w:val="24"/>
        </w:rPr>
        <w:t>（财会〔2017〕14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号——职工薪酬</w:t>
      </w:r>
      <w:r>
        <w:rPr>
          <w:sz w:val="24"/>
        </w:rPr>
        <w:t>（财会〔2014〕8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4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33</w:t>
      </w:r>
      <w:r>
        <w:rPr>
          <w:spacing w:val="-8"/>
          <w:sz w:val="24"/>
        </w:rPr>
        <w:t xml:space="preserve"> 号——合并财务报表</w:t>
      </w:r>
      <w:r>
        <w:rPr>
          <w:sz w:val="24"/>
        </w:rPr>
        <w:t>（财会〔2014〕10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40</w:t>
      </w:r>
      <w:r>
        <w:rPr>
          <w:spacing w:val="-8"/>
          <w:sz w:val="24"/>
        </w:rPr>
        <w:t xml:space="preserve"> 号——合营安排</w:t>
      </w:r>
      <w:r>
        <w:rPr>
          <w:sz w:val="24"/>
        </w:rPr>
        <w:t>（财会〔2014〕11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1" w:line="312" w:lineRule="auto"/>
        <w:ind w:left="760" w:right="318" w:firstLine="0"/>
        <w:rPr>
          <w:sz w:val="24"/>
        </w:rPr>
      </w:pPr>
      <w:r>
        <w:rPr>
          <w:spacing w:val="-14"/>
          <w:sz w:val="24"/>
        </w:rPr>
        <w:t>关于印发《金融负债与权益工具的区分及相关会计处理规定》的通知</w:t>
      </w:r>
      <w:r>
        <w:rPr>
          <w:sz w:val="24"/>
        </w:rPr>
        <w:t>（</w:t>
      </w:r>
      <w:r>
        <w:rPr>
          <w:spacing w:val="-17"/>
          <w:sz w:val="24"/>
        </w:rPr>
        <w:t>财</w:t>
      </w:r>
      <w:r>
        <w:rPr>
          <w:sz w:val="24"/>
        </w:rPr>
        <w:t>会〔2014〕13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2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号——长期股权投资</w:t>
      </w:r>
      <w:r>
        <w:rPr>
          <w:sz w:val="24"/>
        </w:rPr>
        <w:t>（财会〔2014〕14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1" w:line="312" w:lineRule="auto"/>
        <w:ind w:left="280" w:right="318" w:firstLine="479"/>
        <w:rPr>
          <w:sz w:val="24"/>
        </w:rPr>
      </w:pPr>
      <w:r>
        <w:rPr>
          <w:spacing w:val="1"/>
          <w:sz w:val="24"/>
        </w:rPr>
        <w:t>企业会计</w:t>
      </w:r>
      <w:proofErr w:type="gramStart"/>
      <w:r>
        <w:rPr>
          <w:spacing w:val="1"/>
          <w:sz w:val="24"/>
        </w:rPr>
        <w:t>准则第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41 号——在其他主体中权益的披露</w:t>
      </w:r>
      <w:r>
        <w:rPr>
          <w:spacing w:val="3"/>
          <w:sz w:val="24"/>
        </w:rPr>
        <w:t>（</w:t>
      </w:r>
      <w:r>
        <w:rPr>
          <w:sz w:val="24"/>
        </w:rPr>
        <w:t>财会〔2014〕</w:t>
      </w:r>
      <w:r>
        <w:rPr>
          <w:spacing w:val="-7"/>
          <w:sz w:val="24"/>
        </w:rPr>
        <w:t xml:space="preserve">16 </w:t>
      </w:r>
      <w:r>
        <w:rPr>
          <w:sz w:val="24"/>
        </w:rPr>
        <w:t>号）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3"/>
        <w:ind w:left="1121" w:hanging="362"/>
        <w:rPr>
          <w:sz w:val="24"/>
        </w:rPr>
      </w:pPr>
      <w:r>
        <w:rPr>
          <w:spacing w:val="-7"/>
          <w:sz w:val="24"/>
        </w:rPr>
        <w:t xml:space="preserve">企业会计准则解释 </w:t>
      </w:r>
      <w:r>
        <w:rPr>
          <w:sz w:val="24"/>
        </w:rPr>
        <w:t>7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（财会〔2015〕19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pacing w:val="-7"/>
          <w:sz w:val="24"/>
        </w:rPr>
        <w:t xml:space="preserve">企业会计准则解释 </w:t>
      </w:r>
      <w:r>
        <w:rPr>
          <w:sz w:val="24"/>
        </w:rPr>
        <w:t>8</w:t>
      </w:r>
      <w:r>
        <w:rPr>
          <w:spacing w:val="-30"/>
          <w:sz w:val="24"/>
        </w:rPr>
        <w:t xml:space="preserve"> 号</w:t>
      </w:r>
      <w:r>
        <w:rPr>
          <w:sz w:val="24"/>
        </w:rPr>
        <w:t>（财会〔2015〕23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z w:val="24"/>
        </w:rPr>
        <w:t>增值税企业会计处理规定（财会〔2016〕22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号——金融工具确认和计量</w:t>
      </w:r>
      <w:r>
        <w:rPr>
          <w:sz w:val="24"/>
        </w:rPr>
        <w:t>（财会〔2017〕7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23</w:t>
      </w:r>
      <w:r>
        <w:rPr>
          <w:spacing w:val="-8"/>
          <w:sz w:val="24"/>
        </w:rPr>
        <w:t xml:space="preserve"> 号——金融资产转移</w:t>
      </w:r>
      <w:r>
        <w:rPr>
          <w:sz w:val="24"/>
        </w:rPr>
        <w:t>（财会〔2017〕8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号——套期会计</w:t>
      </w:r>
      <w:r>
        <w:rPr>
          <w:sz w:val="24"/>
        </w:rPr>
        <w:t>（财会〔2017〕9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4"/>
        <w:ind w:left="1121" w:hanging="362"/>
        <w:rPr>
          <w:sz w:val="24"/>
        </w:rPr>
      </w:pPr>
      <w:r>
        <w:rPr>
          <w:sz w:val="24"/>
        </w:rPr>
        <w:t>企业会计</w:t>
      </w:r>
      <w:proofErr w:type="gramStart"/>
      <w:r>
        <w:rPr>
          <w:sz w:val="24"/>
        </w:rPr>
        <w:t>准则第</w:t>
      </w:r>
      <w:proofErr w:type="gramEnd"/>
      <w:r>
        <w:rPr>
          <w:sz w:val="24"/>
        </w:rPr>
        <w:t xml:space="preserve"> 42 号——持有待售的非流动资产、</w:t>
      </w:r>
      <w:proofErr w:type="gramStart"/>
      <w:r>
        <w:rPr>
          <w:sz w:val="24"/>
        </w:rPr>
        <w:t>处置组</w:t>
      </w:r>
      <w:proofErr w:type="gramEnd"/>
      <w:r>
        <w:rPr>
          <w:sz w:val="24"/>
        </w:rPr>
        <w:t>和终止经营</w:t>
      </w:r>
    </w:p>
    <w:p w:rsidR="006F6FA3" w:rsidRDefault="006F6FA3" w:rsidP="006F6FA3">
      <w:pPr>
        <w:pStyle w:val="a5"/>
        <w:spacing w:before="91"/>
      </w:pPr>
      <w:r>
        <w:t>（财会〔2017〕13 号）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37</w:t>
      </w:r>
      <w:r>
        <w:rPr>
          <w:spacing w:val="-8"/>
          <w:sz w:val="24"/>
        </w:rPr>
        <w:t xml:space="preserve"> 号——金融工具列报</w:t>
      </w:r>
      <w:r>
        <w:rPr>
          <w:sz w:val="24"/>
        </w:rPr>
        <w:t>（财会〔2017〕14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rPr>
          <w:sz w:val="24"/>
        </w:rPr>
        <w:sectPr w:rsidR="006F6FA3">
          <w:pgSz w:w="11910" w:h="16840"/>
          <w:pgMar w:top="1460" w:right="1480" w:bottom="280" w:left="1520" w:header="720" w:footer="720" w:gutter="0"/>
          <w:cols w:space="720"/>
        </w:sectPr>
      </w:pP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41"/>
        <w:ind w:left="1121" w:hanging="362"/>
        <w:rPr>
          <w:sz w:val="24"/>
        </w:rPr>
      </w:pPr>
      <w:r>
        <w:rPr>
          <w:spacing w:val="-8"/>
          <w:sz w:val="24"/>
        </w:rPr>
        <w:lastRenderedPageBreak/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号——政府补助</w:t>
      </w:r>
      <w:r>
        <w:rPr>
          <w:sz w:val="24"/>
        </w:rPr>
        <w:t>（财会〔2017〕15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 w:line="312" w:lineRule="auto"/>
        <w:ind w:left="280" w:right="316" w:firstLine="479"/>
        <w:rPr>
          <w:sz w:val="24"/>
        </w:rPr>
      </w:pPr>
      <w:r>
        <w:rPr>
          <w:spacing w:val="-6"/>
          <w:sz w:val="24"/>
        </w:rPr>
        <w:t xml:space="preserve">企业会计准则解释第 </w:t>
      </w:r>
      <w:r>
        <w:rPr>
          <w:sz w:val="24"/>
        </w:rPr>
        <w:t>9</w:t>
      </w:r>
      <w:r>
        <w:rPr>
          <w:spacing w:val="-7"/>
          <w:sz w:val="24"/>
        </w:rPr>
        <w:t xml:space="preserve"> 号——关于权益法下投资净损失的会计处理</w:t>
      </w:r>
      <w:r>
        <w:rPr>
          <w:sz w:val="24"/>
        </w:rPr>
        <w:t>（</w:t>
      </w:r>
      <w:r>
        <w:rPr>
          <w:spacing w:val="-16"/>
          <w:sz w:val="24"/>
        </w:rPr>
        <w:t>财</w:t>
      </w:r>
      <w:r>
        <w:rPr>
          <w:sz w:val="24"/>
        </w:rPr>
        <w:t>会〔2017〕16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line="312" w:lineRule="auto"/>
        <w:ind w:left="280" w:right="320" w:firstLine="479"/>
        <w:rPr>
          <w:sz w:val="24"/>
        </w:rPr>
      </w:pPr>
      <w:r>
        <w:rPr>
          <w:spacing w:val="1"/>
          <w:sz w:val="24"/>
        </w:rPr>
        <w:t xml:space="preserve">企业会计准则解释第 </w:t>
      </w:r>
      <w:r>
        <w:rPr>
          <w:sz w:val="24"/>
        </w:rPr>
        <w:t>10</w:t>
      </w:r>
      <w:r>
        <w:rPr>
          <w:spacing w:val="-1"/>
          <w:sz w:val="24"/>
        </w:rPr>
        <w:t xml:space="preserve"> 号——关于以使用固定资产产生的收入为基础</w:t>
      </w:r>
      <w:r>
        <w:rPr>
          <w:sz w:val="24"/>
        </w:rPr>
        <w:t>的折旧方法（财会〔2017〕17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line="312" w:lineRule="auto"/>
        <w:ind w:left="280" w:right="320" w:firstLine="479"/>
        <w:rPr>
          <w:sz w:val="24"/>
        </w:rPr>
      </w:pPr>
      <w:r>
        <w:rPr>
          <w:spacing w:val="1"/>
          <w:sz w:val="24"/>
        </w:rPr>
        <w:t xml:space="preserve">企业会计准则解释第 </w:t>
      </w:r>
      <w:r>
        <w:rPr>
          <w:sz w:val="24"/>
        </w:rPr>
        <w:t>11</w:t>
      </w:r>
      <w:r>
        <w:rPr>
          <w:spacing w:val="-1"/>
          <w:sz w:val="24"/>
        </w:rPr>
        <w:t xml:space="preserve"> 号——关于以使用无形资产产生的收入为基础</w:t>
      </w:r>
      <w:r>
        <w:rPr>
          <w:sz w:val="24"/>
        </w:rPr>
        <w:t>的摊销方法（财会〔2017〕18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2" w:line="312" w:lineRule="auto"/>
        <w:ind w:left="280" w:right="319" w:firstLine="479"/>
        <w:rPr>
          <w:sz w:val="24"/>
        </w:rPr>
      </w:pPr>
      <w:r>
        <w:rPr>
          <w:sz w:val="24"/>
        </w:rPr>
        <w:t>企业会计准则解释第 12</w:t>
      </w:r>
      <w:r>
        <w:rPr>
          <w:spacing w:val="-1"/>
          <w:sz w:val="24"/>
        </w:rPr>
        <w:t xml:space="preserve"> 号——关于关键管理人员服务的提供方与接受</w:t>
      </w:r>
      <w:r>
        <w:rPr>
          <w:sz w:val="24"/>
        </w:rPr>
        <w:t>方是否为关联方（财会〔2017〕19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ind w:left="1121" w:hanging="362"/>
        <w:rPr>
          <w:sz w:val="24"/>
        </w:rPr>
      </w:pPr>
      <w:r>
        <w:rPr>
          <w:spacing w:val="-8"/>
          <w:sz w:val="24"/>
        </w:rPr>
        <w:t>企业会计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号——收入</w:t>
      </w:r>
      <w:r>
        <w:rPr>
          <w:sz w:val="24"/>
        </w:rPr>
        <w:t>（财会〔2017〕22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z w:val="24"/>
        </w:rPr>
        <w:t>财政部关于修订印发《企业会计准则第 21 号——租赁》的通知（财会</w:t>
      </w:r>
    </w:p>
    <w:p w:rsidR="006F6FA3" w:rsidRDefault="006F6FA3" w:rsidP="006F6FA3">
      <w:pPr>
        <w:pStyle w:val="a5"/>
        <w:spacing w:before="91"/>
      </w:pPr>
      <w:r>
        <w:t>〔2018〕35 号）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4" w:line="312" w:lineRule="auto"/>
        <w:ind w:left="280" w:right="320" w:firstLine="479"/>
        <w:rPr>
          <w:sz w:val="24"/>
        </w:rPr>
      </w:pPr>
      <w:r>
        <w:rPr>
          <w:spacing w:val="-13"/>
          <w:sz w:val="24"/>
        </w:rPr>
        <w:t xml:space="preserve">关于印发修订《企业会计准则第 </w:t>
      </w:r>
      <w:r>
        <w:rPr>
          <w:sz w:val="24"/>
        </w:rPr>
        <w:t>7</w:t>
      </w:r>
      <w:r>
        <w:rPr>
          <w:spacing w:val="-17"/>
          <w:sz w:val="24"/>
        </w:rPr>
        <w:t xml:space="preserve"> 号——非货币性资产交换》的通知</w:t>
      </w:r>
      <w:r>
        <w:rPr>
          <w:sz w:val="24"/>
        </w:rPr>
        <w:t>（</w:t>
      </w:r>
      <w:r>
        <w:rPr>
          <w:spacing w:val="-17"/>
          <w:sz w:val="24"/>
        </w:rPr>
        <w:t>财</w:t>
      </w:r>
      <w:r>
        <w:rPr>
          <w:sz w:val="24"/>
        </w:rPr>
        <w:t>会〔2019〕8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line="307" w:lineRule="exact"/>
        <w:ind w:left="1121" w:hanging="362"/>
        <w:rPr>
          <w:sz w:val="24"/>
        </w:rPr>
      </w:pPr>
      <w:r>
        <w:rPr>
          <w:spacing w:val="-15"/>
          <w:sz w:val="24"/>
        </w:rPr>
        <w:t xml:space="preserve">关于印发修订《企业会计准则第 </w:t>
      </w:r>
      <w:r>
        <w:rPr>
          <w:sz w:val="24"/>
        </w:rPr>
        <w:t>12</w:t>
      </w:r>
      <w:r>
        <w:rPr>
          <w:spacing w:val="-25"/>
          <w:sz w:val="24"/>
        </w:rPr>
        <w:t xml:space="preserve"> 号——债务重组》的通知</w:t>
      </w:r>
      <w:r>
        <w:rPr>
          <w:sz w:val="24"/>
        </w:rPr>
        <w:t>（</w:t>
      </w:r>
      <w:r>
        <w:rPr>
          <w:spacing w:val="-39"/>
          <w:sz w:val="24"/>
        </w:rPr>
        <w:t>财会〔</w:t>
      </w:r>
      <w:r>
        <w:rPr>
          <w:sz w:val="24"/>
        </w:rPr>
        <w:t>2019〕</w:t>
      </w:r>
    </w:p>
    <w:p w:rsidR="006F6FA3" w:rsidRDefault="006F6FA3" w:rsidP="006F6FA3">
      <w:pPr>
        <w:pStyle w:val="a5"/>
      </w:pPr>
      <w:r>
        <w:t>9 号）</w:t>
      </w:r>
    </w:p>
    <w:p w:rsidR="006F6FA3" w:rsidRDefault="006F6FA3" w:rsidP="006F6FA3">
      <w:pPr>
        <w:pStyle w:val="a6"/>
        <w:numPr>
          <w:ilvl w:val="0"/>
          <w:numId w:val="2"/>
        </w:numPr>
        <w:tabs>
          <w:tab w:val="left" w:pos="1122"/>
        </w:tabs>
        <w:spacing w:before="93" w:line="312" w:lineRule="auto"/>
        <w:ind w:left="280" w:right="316" w:firstLine="479"/>
        <w:rPr>
          <w:sz w:val="24"/>
        </w:rPr>
      </w:pPr>
      <w:r>
        <w:rPr>
          <w:spacing w:val="-7"/>
          <w:sz w:val="24"/>
        </w:rPr>
        <w:t xml:space="preserve">关于修订印发 </w:t>
      </w:r>
      <w:r>
        <w:rPr>
          <w:sz w:val="24"/>
        </w:rPr>
        <w:t>2019</w:t>
      </w:r>
      <w:r>
        <w:rPr>
          <w:spacing w:val="-7"/>
          <w:sz w:val="24"/>
        </w:rPr>
        <w:t xml:space="preserve"> 年度一般企业财务报表格式的通知</w:t>
      </w:r>
      <w:r>
        <w:rPr>
          <w:sz w:val="24"/>
        </w:rPr>
        <w:t>（财会〔2019〕</w:t>
      </w:r>
      <w:r>
        <w:rPr>
          <w:spacing w:val="-16"/>
          <w:sz w:val="24"/>
        </w:rPr>
        <w:t xml:space="preserve">6 </w:t>
      </w:r>
      <w:r>
        <w:rPr>
          <w:sz w:val="24"/>
        </w:rPr>
        <w:t>号）</w:t>
      </w:r>
    </w:p>
    <w:p w:rsidR="006F6FA3" w:rsidRDefault="006F6FA3" w:rsidP="006F6FA3">
      <w:pPr>
        <w:pStyle w:val="a5"/>
        <w:spacing w:before="0"/>
        <w:ind w:left="760"/>
      </w:pPr>
      <w:r>
        <w:t>46</w:t>
      </w:r>
      <w:r>
        <w:rPr>
          <w:spacing w:val="-10"/>
        </w:rPr>
        <w:t xml:space="preserve"> 关于修订印发合并财务报表格式</w:t>
      </w:r>
      <w:r>
        <w:t>（2019</w:t>
      </w:r>
      <w:r>
        <w:rPr>
          <w:spacing w:val="-30"/>
        </w:rPr>
        <w:t xml:space="preserve"> 版</w:t>
      </w:r>
      <w:r>
        <w:rPr>
          <w:spacing w:val="-32"/>
        </w:rPr>
        <w:t>）</w:t>
      </w:r>
      <w:r>
        <w:rPr>
          <w:spacing w:val="-11"/>
        </w:rPr>
        <w:t>的通知</w:t>
      </w:r>
      <w:r>
        <w:t>（</w:t>
      </w:r>
      <w:r>
        <w:rPr>
          <w:spacing w:val="-11"/>
        </w:rPr>
        <w:t>财会〔</w:t>
      </w:r>
      <w:r>
        <w:t>2019</w:t>
      </w:r>
      <w:r>
        <w:rPr>
          <w:spacing w:val="-32"/>
        </w:rPr>
        <w:t>〕</w:t>
      </w:r>
      <w:r>
        <w:t>16</w:t>
      </w:r>
      <w:r>
        <w:rPr>
          <w:spacing w:val="-30"/>
        </w:rPr>
        <w:t xml:space="preserve"> 号</w:t>
      </w:r>
      <w: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4" w:line="312" w:lineRule="auto"/>
        <w:ind w:right="316" w:firstLine="479"/>
        <w:rPr>
          <w:sz w:val="24"/>
        </w:rPr>
      </w:pPr>
      <w:r>
        <w:rPr>
          <w:spacing w:val="-4"/>
          <w:sz w:val="24"/>
        </w:rPr>
        <w:t xml:space="preserve">关于印发《企业会计准则解释第 </w:t>
      </w:r>
      <w:r>
        <w:rPr>
          <w:sz w:val="24"/>
        </w:rPr>
        <w:t>13</w:t>
      </w:r>
      <w:r>
        <w:rPr>
          <w:spacing w:val="-10"/>
          <w:sz w:val="24"/>
        </w:rPr>
        <w:t xml:space="preserve"> 号》的通知</w:t>
      </w:r>
      <w:r>
        <w:rPr>
          <w:sz w:val="24"/>
        </w:rPr>
        <w:t>（财会〔2019〕21</w:t>
      </w:r>
      <w:r>
        <w:rPr>
          <w:spacing w:val="-30"/>
          <w:sz w:val="24"/>
        </w:rPr>
        <w:t xml:space="preserve"> 号</w:t>
      </w:r>
      <w:r>
        <w:rPr>
          <w:sz w:val="24"/>
        </w:rPr>
        <w:t xml:space="preserve">） </w:t>
      </w:r>
      <w:r>
        <w:rPr>
          <w:spacing w:val="-9"/>
          <w:sz w:val="24"/>
        </w:rPr>
        <w:t xml:space="preserve">注：上述企业会计准则解释中的某些内容已被 </w:t>
      </w:r>
      <w:r>
        <w:rPr>
          <w:sz w:val="24"/>
        </w:rPr>
        <w:t>2014</w:t>
      </w:r>
      <w:r>
        <w:rPr>
          <w:spacing w:val="-31"/>
          <w:sz w:val="24"/>
        </w:rPr>
        <w:t xml:space="preserve"> 年、</w:t>
      </w:r>
      <w:r>
        <w:rPr>
          <w:sz w:val="24"/>
        </w:rPr>
        <w:t>2017</w:t>
      </w:r>
      <w:r>
        <w:rPr>
          <w:spacing w:val="-31"/>
          <w:sz w:val="24"/>
        </w:rPr>
        <w:t xml:space="preserve"> 年、</w:t>
      </w:r>
      <w:r>
        <w:rPr>
          <w:sz w:val="24"/>
        </w:rPr>
        <w:t>2018</w:t>
      </w:r>
      <w:r>
        <w:rPr>
          <w:spacing w:val="-15"/>
          <w:sz w:val="24"/>
        </w:rPr>
        <w:t xml:space="preserve"> 年发布的</w:t>
      </w:r>
      <w:r>
        <w:rPr>
          <w:sz w:val="24"/>
        </w:rPr>
        <w:t>准则修正或纳入修订后的准则。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361"/>
        </w:tabs>
        <w:ind w:left="1121" w:right="319" w:hanging="1122"/>
        <w:jc w:val="right"/>
        <w:rPr>
          <w:sz w:val="24"/>
        </w:rPr>
      </w:pPr>
      <w:r>
        <w:rPr>
          <w:spacing w:val="-7"/>
          <w:sz w:val="24"/>
        </w:rPr>
        <w:t>政府会计</w:t>
      </w:r>
      <w:proofErr w:type="gramStart"/>
      <w:r>
        <w:rPr>
          <w:spacing w:val="-7"/>
          <w:sz w:val="24"/>
        </w:rPr>
        <w:t>准则第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号——存货、政府会计</w:t>
      </w:r>
      <w:proofErr w:type="gramStart"/>
      <w:r>
        <w:rPr>
          <w:spacing w:val="-11"/>
          <w:sz w:val="24"/>
        </w:rPr>
        <w:t>准则第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号——投资、政府会</w:t>
      </w:r>
    </w:p>
    <w:p w:rsidR="006F6FA3" w:rsidRDefault="006F6FA3" w:rsidP="006F6FA3">
      <w:pPr>
        <w:pStyle w:val="a5"/>
        <w:spacing w:before="91"/>
        <w:ind w:left="0" w:right="222"/>
        <w:jc w:val="right"/>
      </w:pPr>
      <w:r>
        <w:t>计</w:t>
      </w:r>
      <w:proofErr w:type="gramStart"/>
      <w:r>
        <w:t>准则第</w:t>
      </w:r>
      <w:proofErr w:type="gramEnd"/>
      <w:r>
        <w:t xml:space="preserve"> 3 号——固定资产、政府会计</w:t>
      </w:r>
      <w:proofErr w:type="gramStart"/>
      <w:r>
        <w:t>准则第</w:t>
      </w:r>
      <w:proofErr w:type="gramEnd"/>
      <w:r>
        <w:t xml:space="preserve"> 4 号——无形资产（财会〔2016〕</w:t>
      </w:r>
    </w:p>
    <w:p w:rsidR="006F6FA3" w:rsidRDefault="006F6FA3" w:rsidP="006F6FA3">
      <w:pPr>
        <w:pStyle w:val="a5"/>
      </w:pPr>
      <w:r>
        <w:t>12 号）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4"/>
        <w:ind w:left="1121" w:hanging="362"/>
        <w:rPr>
          <w:sz w:val="24"/>
        </w:rPr>
      </w:pPr>
      <w:r>
        <w:rPr>
          <w:spacing w:val="-8"/>
          <w:sz w:val="24"/>
        </w:rPr>
        <w:t>政府会计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号——固定资产</w:t>
      </w:r>
      <w:r>
        <w:rPr>
          <w:sz w:val="24"/>
        </w:rPr>
        <w:t>（应用指南</w:t>
      </w:r>
      <w:r>
        <w:rPr>
          <w:spacing w:val="-120"/>
          <w:sz w:val="24"/>
        </w:rPr>
        <w:t>）</w:t>
      </w:r>
      <w:r>
        <w:rPr>
          <w:sz w:val="24"/>
        </w:rPr>
        <w:t>（财会〔2017〕4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pacing w:val="-8"/>
          <w:sz w:val="24"/>
        </w:rPr>
        <w:t>政府会计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号——公共基础设施</w:t>
      </w:r>
      <w:r>
        <w:rPr>
          <w:sz w:val="24"/>
        </w:rPr>
        <w:t>（财会〔2017〕11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4"/>
        <w:ind w:left="1121" w:hanging="362"/>
        <w:rPr>
          <w:sz w:val="24"/>
        </w:rPr>
      </w:pPr>
      <w:r>
        <w:rPr>
          <w:spacing w:val="-8"/>
          <w:sz w:val="24"/>
        </w:rPr>
        <w:t>政府会计</w:t>
      </w:r>
      <w:proofErr w:type="gramStart"/>
      <w:r>
        <w:rPr>
          <w:spacing w:val="-8"/>
          <w:sz w:val="24"/>
        </w:rPr>
        <w:t>准则第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号——政府储备物资</w:t>
      </w:r>
      <w:r>
        <w:rPr>
          <w:sz w:val="24"/>
        </w:rPr>
        <w:t>（财会〔2017〕23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z w:val="24"/>
        </w:rPr>
        <w:t>政府会计制度——行政事业单位会计科目和报表（财会〔2017〕25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z w:val="24"/>
        </w:rPr>
        <w:t>民间非营利组织会计制度（财会[2004]7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7"/>
          <w:sz w:val="24"/>
        </w:rPr>
        <w:t xml:space="preserve">《政府会计准则第 </w:t>
      </w:r>
      <w:r>
        <w:rPr>
          <w:sz w:val="24"/>
        </w:rPr>
        <w:t>7</w:t>
      </w:r>
      <w:r>
        <w:rPr>
          <w:spacing w:val="-8"/>
          <w:sz w:val="24"/>
        </w:rPr>
        <w:t xml:space="preserve"> 号——会计调整》的通知</w:t>
      </w:r>
      <w:r>
        <w:rPr>
          <w:sz w:val="24"/>
        </w:rPr>
        <w:t>（财会〔2018〕28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pacing w:val="-7"/>
          <w:sz w:val="24"/>
        </w:rPr>
        <w:t xml:space="preserve">《政府会计准则第 </w:t>
      </w:r>
      <w:r>
        <w:rPr>
          <w:sz w:val="24"/>
        </w:rPr>
        <w:t>8</w:t>
      </w:r>
      <w:r>
        <w:rPr>
          <w:spacing w:val="-8"/>
          <w:sz w:val="24"/>
        </w:rPr>
        <w:t xml:space="preserve"> 号——负债》的通知</w:t>
      </w:r>
      <w:r>
        <w:rPr>
          <w:sz w:val="24"/>
        </w:rPr>
        <w:t>（财会〔2018〕31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1"/>
        <w:ind w:left="1121" w:hanging="362"/>
        <w:rPr>
          <w:sz w:val="24"/>
        </w:rPr>
      </w:pPr>
      <w:r>
        <w:rPr>
          <w:spacing w:val="-7"/>
          <w:sz w:val="24"/>
        </w:rPr>
        <w:t xml:space="preserve">《政府会计准则第 </w:t>
      </w:r>
      <w:r>
        <w:rPr>
          <w:sz w:val="24"/>
        </w:rPr>
        <w:t>9</w:t>
      </w:r>
      <w:r>
        <w:rPr>
          <w:spacing w:val="-11"/>
          <w:sz w:val="24"/>
        </w:rPr>
        <w:t xml:space="preserve"> 号—</w:t>
      </w:r>
      <w:bookmarkStart w:id="0" w:name="_GoBack"/>
      <w:bookmarkEnd w:id="0"/>
      <w:r>
        <w:rPr>
          <w:spacing w:val="-11"/>
          <w:sz w:val="24"/>
        </w:rPr>
        <w:t>—财务报表编制和列报》的通知</w:t>
      </w:r>
      <w:r>
        <w:rPr>
          <w:sz w:val="24"/>
        </w:rPr>
        <w:t>（</w:t>
      </w:r>
      <w:r>
        <w:rPr>
          <w:spacing w:val="-8"/>
          <w:sz w:val="24"/>
        </w:rPr>
        <w:t>财会〔</w:t>
      </w:r>
      <w:r>
        <w:rPr>
          <w:sz w:val="24"/>
        </w:rPr>
        <w:t>2018〕</w:t>
      </w:r>
    </w:p>
    <w:p w:rsidR="006F6FA3" w:rsidRDefault="006F6FA3" w:rsidP="006F6FA3">
      <w:pPr>
        <w:pStyle w:val="a5"/>
        <w:spacing w:before="94"/>
      </w:pPr>
      <w:r>
        <w:t>37 号）</w:t>
      </w:r>
    </w:p>
    <w:p w:rsidR="006F6FA3" w:rsidRDefault="006F6FA3" w:rsidP="006F6FA3">
      <w:pPr>
        <w:sectPr w:rsidR="006F6FA3">
          <w:pgSz w:w="11910" w:h="16840"/>
          <w:pgMar w:top="1460" w:right="1480" w:bottom="280" w:left="1520" w:header="720" w:footer="720" w:gutter="0"/>
          <w:cols w:space="720"/>
        </w:sectPr>
      </w:pP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41"/>
        <w:ind w:left="1121" w:hanging="362"/>
        <w:rPr>
          <w:sz w:val="24"/>
        </w:rPr>
      </w:pPr>
      <w:r>
        <w:rPr>
          <w:spacing w:val="-4"/>
          <w:sz w:val="24"/>
        </w:rPr>
        <w:lastRenderedPageBreak/>
        <w:t xml:space="preserve">关于印发《政府会计准则制度解释第 </w:t>
      </w:r>
      <w:r>
        <w:rPr>
          <w:sz w:val="24"/>
        </w:rPr>
        <w:t>1</w:t>
      </w:r>
      <w:r>
        <w:rPr>
          <w:spacing w:val="-10"/>
          <w:sz w:val="24"/>
        </w:rPr>
        <w:t xml:space="preserve"> 号》的通知</w:t>
      </w:r>
      <w:r>
        <w:rPr>
          <w:sz w:val="24"/>
        </w:rPr>
        <w:t>（财会〔2019〕13）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3" w:line="312" w:lineRule="auto"/>
        <w:ind w:right="320" w:firstLine="479"/>
        <w:rPr>
          <w:sz w:val="24"/>
        </w:rPr>
      </w:pPr>
      <w:r>
        <w:rPr>
          <w:spacing w:val="-12"/>
          <w:sz w:val="24"/>
        </w:rPr>
        <w:t xml:space="preserve">关于印发《政府会计准则第 </w:t>
      </w:r>
      <w:r>
        <w:rPr>
          <w:sz w:val="24"/>
        </w:rPr>
        <w:t>10</w:t>
      </w:r>
      <w:r>
        <w:rPr>
          <w:spacing w:val="-12"/>
          <w:sz w:val="24"/>
        </w:rPr>
        <w:t xml:space="preserve"> 号——政府和社会资本合作项目合同》的</w:t>
      </w:r>
      <w:r>
        <w:rPr>
          <w:sz w:val="24"/>
        </w:rPr>
        <w:t>通知（财会〔2019〕23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line="307" w:lineRule="exact"/>
        <w:ind w:left="1121" w:hanging="362"/>
        <w:rPr>
          <w:sz w:val="24"/>
        </w:rPr>
      </w:pPr>
      <w:r>
        <w:rPr>
          <w:spacing w:val="-10"/>
          <w:sz w:val="24"/>
        </w:rPr>
        <w:t xml:space="preserve">关于印发《政府会计准则制度解释第 </w:t>
      </w:r>
      <w:r>
        <w:rPr>
          <w:sz w:val="24"/>
        </w:rPr>
        <w:t>2</w:t>
      </w:r>
      <w:r>
        <w:rPr>
          <w:spacing w:val="-22"/>
          <w:sz w:val="24"/>
        </w:rPr>
        <w:t xml:space="preserve"> 号》的通知</w:t>
      </w:r>
      <w:r>
        <w:rPr>
          <w:sz w:val="24"/>
        </w:rPr>
        <w:t>（</w:t>
      </w:r>
      <w:r>
        <w:rPr>
          <w:spacing w:val="-11"/>
          <w:sz w:val="24"/>
        </w:rPr>
        <w:t>财会〔</w:t>
      </w:r>
      <w:r>
        <w:rPr>
          <w:sz w:val="24"/>
        </w:rPr>
        <w:t>2019</w:t>
      </w:r>
      <w:r>
        <w:rPr>
          <w:spacing w:val="-32"/>
          <w:sz w:val="24"/>
        </w:rPr>
        <w:t>〕</w:t>
      </w:r>
      <w:r>
        <w:rPr>
          <w:sz w:val="24"/>
        </w:rPr>
        <w:t>24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pStyle w:val="a6"/>
        <w:numPr>
          <w:ilvl w:val="0"/>
          <w:numId w:val="1"/>
        </w:numPr>
        <w:tabs>
          <w:tab w:val="left" w:pos="1122"/>
        </w:tabs>
        <w:spacing w:before="93"/>
        <w:ind w:left="1121" w:hanging="362"/>
        <w:rPr>
          <w:sz w:val="24"/>
        </w:rPr>
      </w:pPr>
      <w:r>
        <w:rPr>
          <w:sz w:val="24"/>
        </w:rPr>
        <w:t>关于印发《事业单位成本核算基本指引》的通知（财会〔2019〕25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6F6FA3" w:rsidRDefault="006F6FA3" w:rsidP="006F6FA3">
      <w:pPr>
        <w:rPr>
          <w:sz w:val="24"/>
        </w:rPr>
        <w:sectPr w:rsidR="006F6FA3">
          <w:pgSz w:w="11910" w:h="16840"/>
          <w:pgMar w:top="1460" w:right="1480" w:bottom="280" w:left="1520" w:header="720" w:footer="720" w:gutter="0"/>
          <w:cols w:space="720"/>
        </w:sectPr>
      </w:pPr>
    </w:p>
    <w:p w:rsidR="006F3F41" w:rsidRDefault="006F3F41"/>
    <w:sectPr w:rsidR="006F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41" w:rsidRDefault="00840741" w:rsidP="006F6FA3">
      <w:r>
        <w:separator/>
      </w:r>
    </w:p>
  </w:endnote>
  <w:endnote w:type="continuationSeparator" w:id="0">
    <w:p w:rsidR="00840741" w:rsidRDefault="00840741" w:rsidP="006F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41" w:rsidRDefault="00840741" w:rsidP="006F6FA3">
      <w:r>
        <w:separator/>
      </w:r>
    </w:p>
  </w:footnote>
  <w:footnote w:type="continuationSeparator" w:id="0">
    <w:p w:rsidR="00840741" w:rsidRDefault="00840741" w:rsidP="006F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B6"/>
    <w:multiLevelType w:val="hybridMultilevel"/>
    <w:tmpl w:val="DC82197E"/>
    <w:lvl w:ilvl="0" w:tplc="37DEC708">
      <w:start w:val="1"/>
      <w:numFmt w:val="decimal"/>
      <w:lvlText w:val="%1."/>
      <w:lvlJc w:val="left"/>
      <w:pPr>
        <w:ind w:left="1001" w:hanging="241"/>
        <w:jc w:val="left"/>
      </w:pPr>
      <w:rPr>
        <w:rFonts w:ascii="宋体" w:eastAsia="宋体" w:hAnsi="宋体" w:cs="宋体" w:hint="default"/>
        <w:spacing w:val="-44"/>
        <w:w w:val="100"/>
        <w:sz w:val="22"/>
        <w:szCs w:val="22"/>
        <w:lang w:val="zh-CN" w:eastAsia="zh-CN" w:bidi="zh-CN"/>
      </w:rPr>
    </w:lvl>
    <w:lvl w:ilvl="1" w:tplc="2B9A12A6">
      <w:numFmt w:val="bullet"/>
      <w:lvlText w:val="•"/>
      <w:lvlJc w:val="left"/>
      <w:pPr>
        <w:ind w:left="1790" w:hanging="241"/>
      </w:pPr>
      <w:rPr>
        <w:rFonts w:hint="default"/>
        <w:lang w:val="zh-CN" w:eastAsia="zh-CN" w:bidi="zh-CN"/>
      </w:rPr>
    </w:lvl>
    <w:lvl w:ilvl="2" w:tplc="AB32255A">
      <w:numFmt w:val="bullet"/>
      <w:lvlText w:val="•"/>
      <w:lvlJc w:val="left"/>
      <w:pPr>
        <w:ind w:left="2581" w:hanging="241"/>
      </w:pPr>
      <w:rPr>
        <w:rFonts w:hint="default"/>
        <w:lang w:val="zh-CN" w:eastAsia="zh-CN" w:bidi="zh-CN"/>
      </w:rPr>
    </w:lvl>
    <w:lvl w:ilvl="3" w:tplc="6A1EA056">
      <w:numFmt w:val="bullet"/>
      <w:lvlText w:val="•"/>
      <w:lvlJc w:val="left"/>
      <w:pPr>
        <w:ind w:left="3371" w:hanging="241"/>
      </w:pPr>
      <w:rPr>
        <w:rFonts w:hint="default"/>
        <w:lang w:val="zh-CN" w:eastAsia="zh-CN" w:bidi="zh-CN"/>
      </w:rPr>
    </w:lvl>
    <w:lvl w:ilvl="4" w:tplc="8A9C1DA4">
      <w:numFmt w:val="bullet"/>
      <w:lvlText w:val="•"/>
      <w:lvlJc w:val="left"/>
      <w:pPr>
        <w:ind w:left="4162" w:hanging="241"/>
      </w:pPr>
      <w:rPr>
        <w:rFonts w:hint="default"/>
        <w:lang w:val="zh-CN" w:eastAsia="zh-CN" w:bidi="zh-CN"/>
      </w:rPr>
    </w:lvl>
    <w:lvl w:ilvl="5" w:tplc="8F52B01E">
      <w:numFmt w:val="bullet"/>
      <w:lvlText w:val="•"/>
      <w:lvlJc w:val="left"/>
      <w:pPr>
        <w:ind w:left="4953" w:hanging="241"/>
      </w:pPr>
      <w:rPr>
        <w:rFonts w:hint="default"/>
        <w:lang w:val="zh-CN" w:eastAsia="zh-CN" w:bidi="zh-CN"/>
      </w:rPr>
    </w:lvl>
    <w:lvl w:ilvl="6" w:tplc="F64C808C">
      <w:numFmt w:val="bullet"/>
      <w:lvlText w:val="•"/>
      <w:lvlJc w:val="left"/>
      <w:pPr>
        <w:ind w:left="5743" w:hanging="241"/>
      </w:pPr>
      <w:rPr>
        <w:rFonts w:hint="default"/>
        <w:lang w:val="zh-CN" w:eastAsia="zh-CN" w:bidi="zh-CN"/>
      </w:rPr>
    </w:lvl>
    <w:lvl w:ilvl="7" w:tplc="DD407124">
      <w:numFmt w:val="bullet"/>
      <w:lvlText w:val="•"/>
      <w:lvlJc w:val="left"/>
      <w:pPr>
        <w:ind w:left="6534" w:hanging="241"/>
      </w:pPr>
      <w:rPr>
        <w:rFonts w:hint="default"/>
        <w:lang w:val="zh-CN" w:eastAsia="zh-CN" w:bidi="zh-CN"/>
      </w:rPr>
    </w:lvl>
    <w:lvl w:ilvl="8" w:tplc="13D070FC">
      <w:numFmt w:val="bullet"/>
      <w:lvlText w:val="•"/>
      <w:lvlJc w:val="left"/>
      <w:pPr>
        <w:ind w:left="7325" w:hanging="241"/>
      </w:pPr>
      <w:rPr>
        <w:rFonts w:hint="default"/>
        <w:lang w:val="zh-CN" w:eastAsia="zh-CN" w:bidi="zh-CN"/>
      </w:rPr>
    </w:lvl>
  </w:abstractNum>
  <w:abstractNum w:abstractNumId="1">
    <w:nsid w:val="41CE2F4F"/>
    <w:multiLevelType w:val="hybridMultilevel"/>
    <w:tmpl w:val="2BAE2564"/>
    <w:lvl w:ilvl="0" w:tplc="F0DA9102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spacing w:val="-27"/>
        <w:w w:val="100"/>
        <w:sz w:val="22"/>
        <w:szCs w:val="22"/>
        <w:lang w:val="zh-CN" w:eastAsia="zh-CN" w:bidi="zh-CN"/>
      </w:rPr>
    </w:lvl>
    <w:lvl w:ilvl="1" w:tplc="730E4686">
      <w:numFmt w:val="bullet"/>
      <w:lvlText w:val="•"/>
      <w:lvlJc w:val="left"/>
      <w:pPr>
        <w:ind w:left="1539" w:hanging="241"/>
      </w:pPr>
      <w:rPr>
        <w:rFonts w:hint="default"/>
        <w:lang w:val="zh-CN" w:eastAsia="zh-CN" w:bidi="zh-CN"/>
      </w:rPr>
    </w:lvl>
    <w:lvl w:ilvl="2" w:tplc="F8E4F0CC"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3" w:tplc="76B2F62E">
      <w:numFmt w:val="bullet"/>
      <w:lvlText w:val="•"/>
      <w:lvlJc w:val="left"/>
      <w:pPr>
        <w:ind w:left="2739" w:hanging="241"/>
      </w:pPr>
      <w:rPr>
        <w:rFonts w:hint="default"/>
        <w:lang w:val="zh-CN" w:eastAsia="zh-CN" w:bidi="zh-CN"/>
      </w:rPr>
    </w:lvl>
    <w:lvl w:ilvl="4" w:tplc="EF820F64">
      <w:numFmt w:val="bullet"/>
      <w:lvlText w:val="•"/>
      <w:lvlJc w:val="left"/>
      <w:pPr>
        <w:ind w:left="3339" w:hanging="241"/>
      </w:pPr>
      <w:rPr>
        <w:rFonts w:hint="default"/>
        <w:lang w:val="zh-CN" w:eastAsia="zh-CN" w:bidi="zh-CN"/>
      </w:rPr>
    </w:lvl>
    <w:lvl w:ilvl="5" w:tplc="D0A4A098">
      <w:numFmt w:val="bullet"/>
      <w:lvlText w:val="•"/>
      <w:lvlJc w:val="left"/>
      <w:pPr>
        <w:ind w:left="3939" w:hanging="241"/>
      </w:pPr>
      <w:rPr>
        <w:rFonts w:hint="default"/>
        <w:lang w:val="zh-CN" w:eastAsia="zh-CN" w:bidi="zh-CN"/>
      </w:rPr>
    </w:lvl>
    <w:lvl w:ilvl="6" w:tplc="6CE889D8">
      <w:numFmt w:val="bullet"/>
      <w:lvlText w:val="•"/>
      <w:lvlJc w:val="left"/>
      <w:pPr>
        <w:ind w:left="4539" w:hanging="241"/>
      </w:pPr>
      <w:rPr>
        <w:rFonts w:hint="default"/>
        <w:lang w:val="zh-CN" w:eastAsia="zh-CN" w:bidi="zh-CN"/>
      </w:rPr>
    </w:lvl>
    <w:lvl w:ilvl="7" w:tplc="BB1249AE">
      <w:numFmt w:val="bullet"/>
      <w:lvlText w:val="•"/>
      <w:lvlJc w:val="left"/>
      <w:pPr>
        <w:ind w:left="5139" w:hanging="241"/>
      </w:pPr>
      <w:rPr>
        <w:rFonts w:hint="default"/>
        <w:lang w:val="zh-CN" w:eastAsia="zh-CN" w:bidi="zh-CN"/>
      </w:rPr>
    </w:lvl>
    <w:lvl w:ilvl="8" w:tplc="FE52504C">
      <w:numFmt w:val="bullet"/>
      <w:lvlText w:val="•"/>
      <w:lvlJc w:val="left"/>
      <w:pPr>
        <w:ind w:left="5739" w:hanging="241"/>
      </w:pPr>
      <w:rPr>
        <w:rFonts w:hint="default"/>
        <w:lang w:val="zh-CN" w:eastAsia="zh-CN" w:bidi="zh-CN"/>
      </w:rPr>
    </w:lvl>
  </w:abstractNum>
  <w:abstractNum w:abstractNumId="2">
    <w:nsid w:val="6E754874"/>
    <w:multiLevelType w:val="hybridMultilevel"/>
    <w:tmpl w:val="ABEC2570"/>
    <w:lvl w:ilvl="0" w:tplc="94DC541C">
      <w:start w:val="2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56"/>
        <w:w w:val="100"/>
        <w:sz w:val="22"/>
        <w:szCs w:val="22"/>
        <w:lang w:val="zh-CN" w:eastAsia="zh-CN" w:bidi="zh-CN"/>
      </w:rPr>
    </w:lvl>
    <w:lvl w:ilvl="1" w:tplc="2A4E3968">
      <w:numFmt w:val="bullet"/>
      <w:lvlText w:val="•"/>
      <w:lvlJc w:val="left"/>
      <w:pPr>
        <w:ind w:left="783" w:hanging="241"/>
      </w:pPr>
      <w:rPr>
        <w:rFonts w:hint="default"/>
        <w:lang w:val="zh-CN" w:eastAsia="zh-CN" w:bidi="zh-CN"/>
      </w:rPr>
    </w:lvl>
    <w:lvl w:ilvl="2" w:tplc="C06C6DF4">
      <w:numFmt w:val="bullet"/>
      <w:lvlText w:val="•"/>
      <w:lvlJc w:val="left"/>
      <w:pPr>
        <w:ind w:left="1467" w:hanging="241"/>
      </w:pPr>
      <w:rPr>
        <w:rFonts w:hint="default"/>
        <w:lang w:val="zh-CN" w:eastAsia="zh-CN" w:bidi="zh-CN"/>
      </w:rPr>
    </w:lvl>
    <w:lvl w:ilvl="3" w:tplc="BC848576">
      <w:numFmt w:val="bullet"/>
      <w:lvlText w:val="•"/>
      <w:lvlJc w:val="left"/>
      <w:pPr>
        <w:ind w:left="2151" w:hanging="241"/>
      </w:pPr>
      <w:rPr>
        <w:rFonts w:hint="default"/>
        <w:lang w:val="zh-CN" w:eastAsia="zh-CN" w:bidi="zh-CN"/>
      </w:rPr>
    </w:lvl>
    <w:lvl w:ilvl="4" w:tplc="629EDE8A">
      <w:numFmt w:val="bullet"/>
      <w:lvlText w:val="•"/>
      <w:lvlJc w:val="left"/>
      <w:pPr>
        <w:ind w:left="2835" w:hanging="241"/>
      </w:pPr>
      <w:rPr>
        <w:rFonts w:hint="default"/>
        <w:lang w:val="zh-CN" w:eastAsia="zh-CN" w:bidi="zh-CN"/>
      </w:rPr>
    </w:lvl>
    <w:lvl w:ilvl="5" w:tplc="06425084">
      <w:numFmt w:val="bullet"/>
      <w:lvlText w:val="•"/>
      <w:lvlJc w:val="left"/>
      <w:pPr>
        <w:ind w:left="3519" w:hanging="241"/>
      </w:pPr>
      <w:rPr>
        <w:rFonts w:hint="default"/>
        <w:lang w:val="zh-CN" w:eastAsia="zh-CN" w:bidi="zh-CN"/>
      </w:rPr>
    </w:lvl>
    <w:lvl w:ilvl="6" w:tplc="6DC4722E">
      <w:numFmt w:val="bullet"/>
      <w:lvlText w:val="•"/>
      <w:lvlJc w:val="left"/>
      <w:pPr>
        <w:ind w:left="4203" w:hanging="241"/>
      </w:pPr>
      <w:rPr>
        <w:rFonts w:hint="default"/>
        <w:lang w:val="zh-CN" w:eastAsia="zh-CN" w:bidi="zh-CN"/>
      </w:rPr>
    </w:lvl>
    <w:lvl w:ilvl="7" w:tplc="DBAA923A">
      <w:numFmt w:val="bullet"/>
      <w:lvlText w:val="•"/>
      <w:lvlJc w:val="left"/>
      <w:pPr>
        <w:ind w:left="4887" w:hanging="241"/>
      </w:pPr>
      <w:rPr>
        <w:rFonts w:hint="default"/>
        <w:lang w:val="zh-CN" w:eastAsia="zh-CN" w:bidi="zh-CN"/>
      </w:rPr>
    </w:lvl>
    <w:lvl w:ilvl="8" w:tplc="3230C5B0">
      <w:numFmt w:val="bullet"/>
      <w:lvlText w:val="•"/>
      <w:lvlJc w:val="left"/>
      <w:pPr>
        <w:ind w:left="5571" w:hanging="241"/>
      </w:pPr>
      <w:rPr>
        <w:rFonts w:hint="default"/>
        <w:lang w:val="zh-CN" w:eastAsia="zh-CN" w:bidi="zh-CN"/>
      </w:rPr>
    </w:lvl>
  </w:abstractNum>
  <w:abstractNum w:abstractNumId="3">
    <w:nsid w:val="770976C0"/>
    <w:multiLevelType w:val="hybridMultilevel"/>
    <w:tmpl w:val="0660FF6E"/>
    <w:lvl w:ilvl="0" w:tplc="CF465F16">
      <w:start w:val="47"/>
      <w:numFmt w:val="decimal"/>
      <w:lvlText w:val="%1."/>
      <w:lvlJc w:val="left"/>
      <w:pPr>
        <w:ind w:left="280" w:hanging="36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 w:tplc="34C262CE">
      <w:numFmt w:val="bullet"/>
      <w:lvlText w:val="•"/>
      <w:lvlJc w:val="left"/>
      <w:pPr>
        <w:ind w:left="1142" w:hanging="361"/>
      </w:pPr>
      <w:rPr>
        <w:rFonts w:hint="default"/>
        <w:lang w:val="zh-CN" w:eastAsia="zh-CN" w:bidi="zh-CN"/>
      </w:rPr>
    </w:lvl>
    <w:lvl w:ilvl="2" w:tplc="E636275A">
      <w:numFmt w:val="bullet"/>
      <w:lvlText w:val="•"/>
      <w:lvlJc w:val="left"/>
      <w:pPr>
        <w:ind w:left="2005" w:hanging="361"/>
      </w:pPr>
      <w:rPr>
        <w:rFonts w:hint="default"/>
        <w:lang w:val="zh-CN" w:eastAsia="zh-CN" w:bidi="zh-CN"/>
      </w:rPr>
    </w:lvl>
    <w:lvl w:ilvl="3" w:tplc="208264A4">
      <w:numFmt w:val="bullet"/>
      <w:lvlText w:val="•"/>
      <w:lvlJc w:val="left"/>
      <w:pPr>
        <w:ind w:left="2867" w:hanging="361"/>
      </w:pPr>
      <w:rPr>
        <w:rFonts w:hint="default"/>
        <w:lang w:val="zh-CN" w:eastAsia="zh-CN" w:bidi="zh-CN"/>
      </w:rPr>
    </w:lvl>
    <w:lvl w:ilvl="4" w:tplc="630E9430">
      <w:numFmt w:val="bullet"/>
      <w:lvlText w:val="•"/>
      <w:lvlJc w:val="left"/>
      <w:pPr>
        <w:ind w:left="3730" w:hanging="361"/>
      </w:pPr>
      <w:rPr>
        <w:rFonts w:hint="default"/>
        <w:lang w:val="zh-CN" w:eastAsia="zh-CN" w:bidi="zh-CN"/>
      </w:rPr>
    </w:lvl>
    <w:lvl w:ilvl="5" w:tplc="66962408">
      <w:numFmt w:val="bullet"/>
      <w:lvlText w:val="•"/>
      <w:lvlJc w:val="left"/>
      <w:pPr>
        <w:ind w:left="4593" w:hanging="361"/>
      </w:pPr>
      <w:rPr>
        <w:rFonts w:hint="default"/>
        <w:lang w:val="zh-CN" w:eastAsia="zh-CN" w:bidi="zh-CN"/>
      </w:rPr>
    </w:lvl>
    <w:lvl w:ilvl="6" w:tplc="B72EEAA8">
      <w:numFmt w:val="bullet"/>
      <w:lvlText w:val="•"/>
      <w:lvlJc w:val="left"/>
      <w:pPr>
        <w:ind w:left="5455" w:hanging="361"/>
      </w:pPr>
      <w:rPr>
        <w:rFonts w:hint="default"/>
        <w:lang w:val="zh-CN" w:eastAsia="zh-CN" w:bidi="zh-CN"/>
      </w:rPr>
    </w:lvl>
    <w:lvl w:ilvl="7" w:tplc="C0A8790A">
      <w:numFmt w:val="bullet"/>
      <w:lvlText w:val="•"/>
      <w:lvlJc w:val="left"/>
      <w:pPr>
        <w:ind w:left="6318" w:hanging="361"/>
      </w:pPr>
      <w:rPr>
        <w:rFonts w:hint="default"/>
        <w:lang w:val="zh-CN" w:eastAsia="zh-CN" w:bidi="zh-CN"/>
      </w:rPr>
    </w:lvl>
    <w:lvl w:ilvl="8" w:tplc="DC400292">
      <w:numFmt w:val="bullet"/>
      <w:lvlText w:val="•"/>
      <w:lvlJc w:val="left"/>
      <w:pPr>
        <w:ind w:left="7181" w:hanging="361"/>
      </w:pPr>
      <w:rPr>
        <w:rFonts w:hint="default"/>
        <w:lang w:val="zh-CN" w:eastAsia="zh-CN" w:bidi="zh-CN"/>
      </w:rPr>
    </w:lvl>
  </w:abstractNum>
  <w:abstractNum w:abstractNumId="4">
    <w:nsid w:val="7B85727C"/>
    <w:multiLevelType w:val="hybridMultilevel"/>
    <w:tmpl w:val="AEA815D0"/>
    <w:lvl w:ilvl="0" w:tplc="427AA02A">
      <w:start w:val="1"/>
      <w:numFmt w:val="decimal"/>
      <w:lvlText w:val="%1."/>
      <w:lvlJc w:val="left"/>
      <w:pPr>
        <w:ind w:left="280" w:hanging="261"/>
        <w:jc w:val="left"/>
      </w:pPr>
      <w:rPr>
        <w:rFonts w:ascii="宋体" w:eastAsia="宋体" w:hAnsi="宋体" w:cs="宋体" w:hint="default"/>
        <w:spacing w:val="-14"/>
        <w:w w:val="99"/>
        <w:sz w:val="24"/>
        <w:szCs w:val="24"/>
        <w:lang w:val="zh-CN" w:eastAsia="zh-CN" w:bidi="zh-CN"/>
      </w:rPr>
    </w:lvl>
    <w:lvl w:ilvl="1" w:tplc="E77AC16E">
      <w:numFmt w:val="bullet"/>
      <w:lvlText w:val="•"/>
      <w:lvlJc w:val="left"/>
      <w:pPr>
        <w:ind w:left="1142" w:hanging="261"/>
      </w:pPr>
      <w:rPr>
        <w:rFonts w:hint="default"/>
        <w:lang w:val="zh-CN" w:eastAsia="zh-CN" w:bidi="zh-CN"/>
      </w:rPr>
    </w:lvl>
    <w:lvl w:ilvl="2" w:tplc="517C5262">
      <w:numFmt w:val="bullet"/>
      <w:lvlText w:val="•"/>
      <w:lvlJc w:val="left"/>
      <w:pPr>
        <w:ind w:left="2005" w:hanging="261"/>
      </w:pPr>
      <w:rPr>
        <w:rFonts w:hint="default"/>
        <w:lang w:val="zh-CN" w:eastAsia="zh-CN" w:bidi="zh-CN"/>
      </w:rPr>
    </w:lvl>
    <w:lvl w:ilvl="3" w:tplc="E9C263AE">
      <w:numFmt w:val="bullet"/>
      <w:lvlText w:val="•"/>
      <w:lvlJc w:val="left"/>
      <w:pPr>
        <w:ind w:left="2867" w:hanging="261"/>
      </w:pPr>
      <w:rPr>
        <w:rFonts w:hint="default"/>
        <w:lang w:val="zh-CN" w:eastAsia="zh-CN" w:bidi="zh-CN"/>
      </w:rPr>
    </w:lvl>
    <w:lvl w:ilvl="4" w:tplc="A6B62EF4">
      <w:numFmt w:val="bullet"/>
      <w:lvlText w:val="•"/>
      <w:lvlJc w:val="left"/>
      <w:pPr>
        <w:ind w:left="3730" w:hanging="261"/>
      </w:pPr>
      <w:rPr>
        <w:rFonts w:hint="default"/>
        <w:lang w:val="zh-CN" w:eastAsia="zh-CN" w:bidi="zh-CN"/>
      </w:rPr>
    </w:lvl>
    <w:lvl w:ilvl="5" w:tplc="B472FC50">
      <w:numFmt w:val="bullet"/>
      <w:lvlText w:val="•"/>
      <w:lvlJc w:val="left"/>
      <w:pPr>
        <w:ind w:left="4593" w:hanging="261"/>
      </w:pPr>
      <w:rPr>
        <w:rFonts w:hint="default"/>
        <w:lang w:val="zh-CN" w:eastAsia="zh-CN" w:bidi="zh-CN"/>
      </w:rPr>
    </w:lvl>
    <w:lvl w:ilvl="6" w:tplc="220687EC">
      <w:numFmt w:val="bullet"/>
      <w:lvlText w:val="•"/>
      <w:lvlJc w:val="left"/>
      <w:pPr>
        <w:ind w:left="5455" w:hanging="261"/>
      </w:pPr>
      <w:rPr>
        <w:rFonts w:hint="default"/>
        <w:lang w:val="zh-CN" w:eastAsia="zh-CN" w:bidi="zh-CN"/>
      </w:rPr>
    </w:lvl>
    <w:lvl w:ilvl="7" w:tplc="E95C2242">
      <w:numFmt w:val="bullet"/>
      <w:lvlText w:val="•"/>
      <w:lvlJc w:val="left"/>
      <w:pPr>
        <w:ind w:left="6318" w:hanging="261"/>
      </w:pPr>
      <w:rPr>
        <w:rFonts w:hint="default"/>
        <w:lang w:val="zh-CN" w:eastAsia="zh-CN" w:bidi="zh-CN"/>
      </w:rPr>
    </w:lvl>
    <w:lvl w:ilvl="8" w:tplc="7ED2BD7C">
      <w:numFmt w:val="bullet"/>
      <w:lvlText w:val="•"/>
      <w:lvlJc w:val="left"/>
      <w:pPr>
        <w:ind w:left="7181" w:hanging="26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9"/>
    <w:rsid w:val="006F3F41"/>
    <w:rsid w:val="006F6FA3"/>
    <w:rsid w:val="00840741"/>
    <w:rsid w:val="008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FA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F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FA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6F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F6FA3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6F6FA3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List Paragraph"/>
    <w:basedOn w:val="a"/>
    <w:uiPriority w:val="1"/>
    <w:qFormat/>
    <w:rsid w:val="006F6FA3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6F6FA3"/>
    <w:pPr>
      <w:spacing w:before="93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FA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F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FA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6F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F6FA3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6F6FA3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List Paragraph"/>
    <w:basedOn w:val="a"/>
    <w:uiPriority w:val="1"/>
    <w:qFormat/>
    <w:rsid w:val="006F6FA3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6F6FA3"/>
    <w:pPr>
      <w:spacing w:before="93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2020-12-08T01:51:00Z</dcterms:created>
  <dcterms:modified xsi:type="dcterms:W3CDTF">2020-12-08T01:52:00Z</dcterms:modified>
</cp:coreProperties>
</file>